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7456" behindDoc="0" locked="0" layoutInCell="1" allowOverlap="1">
            <wp:simplePos x="0" y="0"/>
            <wp:positionH relativeFrom="column">
              <wp:posOffset>-211455</wp:posOffset>
            </wp:positionH>
            <wp:positionV relativeFrom="paragraph">
              <wp:posOffset>-384810</wp:posOffset>
            </wp:positionV>
            <wp:extent cx="7560310" cy="10695940"/>
            <wp:effectExtent l="0" t="0" r="2540" b="10160"/>
            <wp:wrapNone/>
            <wp:docPr id="1" name="图片 1" descr="b2a4bceadbb8804630d5448c4faf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2a4bceadbb8804630d5448c4faf7fd"/>
                    <pic:cNvPicPr>
                      <a:picLocks noChangeAspect="1"/>
                    </pic:cNvPicPr>
                  </pic:nvPicPr>
                  <pic:blipFill>
                    <a:blip r:embed="rId6"/>
                    <a:stretch>
                      <a:fillRect/>
                    </a:stretch>
                  </pic:blipFill>
                  <pic:spPr>
                    <a:xfrm>
                      <a:off x="0" y="0"/>
                      <a:ext cx="7560310" cy="10695940"/>
                    </a:xfrm>
                    <a:prstGeom prst="rect">
                      <a:avLst/>
                    </a:prstGeom>
                  </pic:spPr>
                </pic:pic>
              </a:graphicData>
            </a:graphic>
          </wp:anchor>
        </w:drawing>
      </w:r>
    </w:p>
    <w:p w14:paraId="1A780989">
      <w:pPr>
        <w:pStyle w:val="5"/>
        <w:jc w:val="both"/>
        <w:rPr>
          <w:rFonts w:hint="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47625</wp:posOffset>
            </wp:positionV>
            <wp:extent cx="7559040" cy="10692130"/>
            <wp:effectExtent l="0" t="0" r="3810" b="13970"/>
            <wp:wrapSquare wrapText="bothSides"/>
            <wp:docPr id="9" name="图片 9" descr="私享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私享派-1"/>
                    <pic:cNvPicPr>
                      <a:picLocks noChangeAspect="1"/>
                    </pic:cNvPicPr>
                  </pic:nvPicPr>
                  <pic:blipFill>
                    <a:blip r:embed="rId7"/>
                    <a:stretch>
                      <a:fillRect/>
                    </a:stretch>
                  </pic:blipFill>
                  <pic:spPr>
                    <a:xfrm>
                      <a:off x="0" y="0"/>
                      <a:ext cx="7559040" cy="10692130"/>
                    </a:xfrm>
                    <a:prstGeom prst="rect">
                      <a:avLst/>
                    </a:prstGeom>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-63500</wp:posOffset>
            </wp:positionH>
            <wp:positionV relativeFrom="paragraph">
              <wp:posOffset>-228600</wp:posOffset>
            </wp:positionV>
            <wp:extent cx="7559040" cy="10692130"/>
            <wp:effectExtent l="0" t="0" r="3810" b="13970"/>
            <wp:wrapSquare wrapText="bothSides"/>
            <wp:docPr id="12" name="图片 12" descr="私享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私享派-2"/>
                    <pic:cNvPicPr>
                      <a:picLocks noChangeAspect="1"/>
                    </pic:cNvPicPr>
                  </pic:nvPicPr>
                  <pic:blipFill>
                    <a:blip r:embed="rId8"/>
                    <a:stretch>
                      <a:fillRect/>
                    </a:stretch>
                  </pic:blipFill>
                  <pic:spPr>
                    <a:xfrm>
                      <a:off x="0" y="0"/>
                      <a:ext cx="7559040" cy="10692130"/>
                    </a:xfrm>
                    <a:prstGeom prst="rect">
                      <a:avLst/>
                    </a:prstGeom>
                  </pic:spPr>
                </pic:pic>
              </a:graphicData>
            </a:graphic>
          </wp:anchor>
        </w:drawing>
      </w:r>
    </w:p>
    <w:p w14:paraId="01BC3A47">
      <w:pPr>
        <w:pStyle w:val="5"/>
        <w:rPr>
          <w:rFonts w:hint="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47625</wp:posOffset>
            </wp:positionV>
            <wp:extent cx="7559040" cy="10692130"/>
            <wp:effectExtent l="0" t="0" r="3810" b="13970"/>
            <wp:wrapSquare wrapText="bothSides"/>
            <wp:docPr id="13" name="图片 13" descr="私享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私享派-3"/>
                    <pic:cNvPicPr>
                      <a:picLocks noChangeAspect="1"/>
                    </pic:cNvPicPr>
                  </pic:nvPicPr>
                  <pic:blipFill>
                    <a:blip r:embed="rId9"/>
                    <a:stretch>
                      <a:fillRect/>
                    </a:stretch>
                  </pic:blipFill>
                  <pic:spPr>
                    <a:xfrm>
                      <a:off x="0" y="0"/>
                      <a:ext cx="7559040" cy="10692130"/>
                    </a:xfrm>
                    <a:prstGeom prst="rect">
                      <a:avLst/>
                    </a:prstGeom>
                  </pic:spPr>
                </pic:pic>
              </a:graphicData>
            </a:graphic>
          </wp:anchor>
        </w:drawing>
      </w:r>
    </w:p>
    <w:p w14:paraId="7AD8A2F7">
      <w:pPr>
        <w:pStyle w:val="5"/>
        <w:rPr>
          <w:rFonts w:hint="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47625</wp:posOffset>
            </wp:positionV>
            <wp:extent cx="7559040" cy="10692130"/>
            <wp:effectExtent l="0" t="0" r="3810" b="13970"/>
            <wp:wrapSquare wrapText="bothSides"/>
            <wp:docPr id="14" name="图片 14" descr="私享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私享派-4"/>
                    <pic:cNvPicPr>
                      <a:picLocks noChangeAspect="1"/>
                    </pic:cNvPicPr>
                  </pic:nvPicPr>
                  <pic:blipFill>
                    <a:blip r:embed="rId10"/>
                    <a:stretch>
                      <a:fillRect/>
                    </a:stretch>
                  </pic:blipFill>
                  <pic:spPr>
                    <a:xfrm>
                      <a:off x="0" y="0"/>
                      <a:ext cx="7559040" cy="10692130"/>
                    </a:xfrm>
                    <a:prstGeom prst="rect">
                      <a:avLst/>
                    </a:prstGeom>
                  </pic:spPr>
                </pic:pic>
              </a:graphicData>
            </a:graphic>
          </wp:anchor>
        </w:drawing>
      </w:r>
    </w:p>
    <w:p w14:paraId="000C8063">
      <w:pPr>
        <w:pStyle w:val="5"/>
        <w:rPr>
          <w:rFonts w:hint="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95250</wp:posOffset>
            </wp:positionV>
            <wp:extent cx="7559040" cy="10692130"/>
            <wp:effectExtent l="0" t="0" r="3810" b="13970"/>
            <wp:wrapSquare wrapText="bothSides"/>
            <wp:docPr id="15" name="图片 15" descr="私享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私享派-5"/>
                    <pic:cNvPicPr>
                      <a:picLocks noChangeAspect="1"/>
                    </pic:cNvPicPr>
                  </pic:nvPicPr>
                  <pic:blipFill>
                    <a:blip r:embed="rId11"/>
                    <a:stretch>
                      <a:fillRect/>
                    </a:stretch>
                  </pic:blipFill>
                  <pic:spPr>
                    <a:xfrm>
                      <a:off x="0" y="0"/>
                      <a:ext cx="7559040" cy="10692130"/>
                    </a:xfrm>
                    <a:prstGeom prst="rect">
                      <a:avLst/>
                    </a:prstGeom>
                  </pic:spPr>
                </pic:pic>
              </a:graphicData>
            </a:graphic>
          </wp:anchor>
        </w:drawing>
      </w:r>
    </w:p>
    <w:p w14:paraId="11BFDF09">
      <w:pPr>
        <w:pStyle w:val="5"/>
        <w:rPr>
          <w:rFonts w:hint="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-215900</wp:posOffset>
            </wp:positionH>
            <wp:positionV relativeFrom="paragraph">
              <wp:posOffset>-370840</wp:posOffset>
            </wp:positionV>
            <wp:extent cx="7559040" cy="10692130"/>
            <wp:effectExtent l="0" t="0" r="3810" b="13970"/>
            <wp:wrapSquare wrapText="bothSides"/>
            <wp:docPr id="16" name="图片 16" descr="私享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私享派-6"/>
                    <pic:cNvPicPr>
                      <a:picLocks noChangeAspect="1"/>
                    </pic:cNvPicPr>
                  </pic:nvPicPr>
                  <pic:blipFill>
                    <a:blip r:embed="rId12"/>
                    <a:stretch>
                      <a:fillRect/>
                    </a:stretch>
                  </pic:blipFill>
                  <pic:spPr>
                    <a:xfrm>
                      <a:off x="0" y="0"/>
                      <a:ext cx="7559040" cy="10692130"/>
                    </a:xfrm>
                    <a:prstGeom prst="rect">
                      <a:avLst/>
                    </a:prstGeom>
                  </pic:spPr>
                </pic:pic>
              </a:graphicData>
            </a:graphic>
          </wp:anchor>
        </w:drawing>
      </w:r>
    </w:p>
    <w:p w14:paraId="1A64897E">
      <w:pPr>
        <w:pStyle w:val="5"/>
        <w:jc w:val="both"/>
        <w:rPr>
          <w:rFonts w:hint="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95250</wp:posOffset>
            </wp:positionV>
            <wp:extent cx="7559040" cy="10692130"/>
            <wp:effectExtent l="0" t="0" r="3810" b="13970"/>
            <wp:wrapSquare wrapText="bothSides"/>
            <wp:docPr id="17" name="图片 17" descr="私享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私享派-7"/>
                    <pic:cNvPicPr>
                      <a:picLocks noChangeAspect="1"/>
                    </pic:cNvPicPr>
                  </pic:nvPicPr>
                  <pic:blipFill>
                    <a:blip r:embed="rId13"/>
                    <a:stretch>
                      <a:fillRect/>
                    </a:stretch>
                  </pic:blipFill>
                  <pic:spPr>
                    <a:xfrm>
                      <a:off x="0" y="0"/>
                      <a:ext cx="7559040" cy="10692130"/>
                    </a:xfrm>
                    <a:prstGeom prst="rect">
                      <a:avLst/>
                    </a:prstGeom>
                  </pic:spPr>
                </pic:pic>
              </a:graphicData>
            </a:graphic>
          </wp:anchor>
        </w:drawing>
      </w:r>
    </w:p>
    <w:p w14:paraId="79A00190">
      <w:pPr>
        <w:pStyle w:val="5"/>
        <w:jc w:val="both"/>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95250</wp:posOffset>
            </wp:positionV>
            <wp:extent cx="7559040" cy="10692130"/>
            <wp:effectExtent l="0" t="0" r="3810" b="13970"/>
            <wp:wrapSquare wrapText="bothSides"/>
            <wp:docPr id="22" name="图片 22" descr="私享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私享派-8"/>
                    <pic:cNvPicPr>
                      <a:picLocks noChangeAspect="1"/>
                    </pic:cNvPicPr>
                  </pic:nvPicPr>
                  <pic:blipFill>
                    <a:blip r:embed="rId14"/>
                    <a:stretch>
                      <a:fillRect/>
                    </a:stretch>
                  </pic:blipFill>
                  <pic:spPr>
                    <a:xfrm>
                      <a:off x="0" y="0"/>
                      <a:ext cx="7559040" cy="10692130"/>
                    </a:xfrm>
                    <a:prstGeom prst="rect">
                      <a:avLst/>
                    </a:prstGeom>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tbl>
      <w:tblPr>
        <w:tblStyle w:val="11"/>
        <w:tblpPr w:leftFromText="180" w:rightFromText="180" w:vertAnchor="page" w:horzAnchor="page" w:tblpX="196" w:tblpY="620"/>
        <w:tblW w:w="11683"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305"/>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83"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臻享重庆</w:t>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2-8人私家团</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天生三桥/龙水峡地缝/仙女山大草原/乌江画廊赤壁观景台/龙门浩老街/解放碑/洪崖洞（非夜景）/渣滓洞/白公馆/磁器口/李子坝轻轨穿楼/鹅岭二厂/山城步道/十八梯双飞5日游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4D2DFF0D">
            <w:pPr>
              <w:keepNext w:val="0"/>
              <w:keepLines w:val="0"/>
              <w:pageBreakBefore w:val="0"/>
              <w:kinsoku/>
              <w:wordWrap/>
              <w:overflowPunct/>
              <w:topLinePunct w:val="0"/>
              <w:autoSpaceDE/>
              <w:autoSpaceDN/>
              <w:bidi w:val="0"/>
              <w:adjustRightInd/>
              <w:snapToGrid/>
              <w:spacing w:line="360" w:lineRule="exact"/>
              <w:jc w:val="both"/>
              <w:textAlignment w:val="auto"/>
              <w:rPr>
                <w:rFonts w:ascii="宋体" w:hAnsi="宋体"/>
                <w:b/>
                <w:bCs/>
                <w:color w:val="FF0000"/>
                <w:sz w:val="32"/>
                <w:szCs w:val="32"/>
              </w:rPr>
            </w:pPr>
            <w:r>
              <w:rPr>
                <w:rFonts w:hint="eastAsia" w:ascii="宋体" w:hAnsi="宋体"/>
                <w:b/>
                <w:bCs/>
                <w:color w:val="FF0000"/>
                <w:sz w:val="32"/>
                <w:szCs w:val="32"/>
              </w:rPr>
              <w:t>2-8人小包团（1单1团）全程0购物</w:t>
            </w:r>
          </w:p>
          <w:p w14:paraId="37B69CE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000000"/>
              </w:rPr>
            </w:pPr>
            <w:r>
              <w:rPr>
                <w:rFonts w:hint="eastAsia" w:ascii="微软雅黑" w:hAnsi="微软雅黑" w:eastAsia="微软雅黑"/>
                <w:b/>
                <w:bCs/>
                <w:color w:val="C00000"/>
              </w:rPr>
              <w:t>【小包团】</w:t>
            </w:r>
            <w:r>
              <w:rPr>
                <w:rFonts w:hint="eastAsia" w:ascii="微软雅黑" w:hAnsi="微软雅黑" w:eastAsia="微软雅黑"/>
                <w:b/>
                <w:bCs/>
                <w:color w:val="000000"/>
              </w:rPr>
              <w:t>2-8人精品小包团，土著带您玩！</w:t>
            </w:r>
          </w:p>
          <w:p w14:paraId="40E4135D">
            <w:pPr>
              <w:keepNext w:val="0"/>
              <w:keepLines w:val="0"/>
              <w:pageBreakBefore w:val="0"/>
              <w:widowControl/>
              <w:kinsoku/>
              <w:wordWrap/>
              <w:overflowPunct/>
              <w:topLinePunct w:val="0"/>
              <w:autoSpaceDE/>
              <w:autoSpaceDN/>
              <w:bidi w:val="0"/>
              <w:adjustRightInd/>
              <w:snapToGrid/>
              <w:spacing w:line="360" w:lineRule="exact"/>
              <w:ind w:right="-315" w:rightChars="-150"/>
              <w:jc w:val="both"/>
              <w:textAlignment w:val="auto"/>
              <w:rPr>
                <w:rFonts w:ascii="微软雅黑" w:hAnsi="微软雅黑" w:eastAsia="微软雅黑"/>
                <w:b/>
                <w:bCs/>
                <w:color w:val="000000"/>
              </w:rPr>
            </w:pPr>
            <w:r>
              <w:rPr>
                <w:rFonts w:hint="eastAsia" w:ascii="微软雅黑" w:hAnsi="微软雅黑" w:eastAsia="微软雅黑"/>
                <w:b/>
                <w:bCs/>
                <w:color w:val="C00000"/>
              </w:rPr>
              <w:t>【豪华商务车】</w:t>
            </w:r>
            <w:r>
              <w:rPr>
                <w:rFonts w:hint="eastAsia" w:ascii="微软雅黑" w:hAnsi="微软雅黑" w:eastAsia="微软雅黑"/>
                <w:b/>
                <w:bCs/>
                <w:color w:val="1F1F1F"/>
              </w:rPr>
              <w:t>用心只为您提供舒适型轿车，</w:t>
            </w:r>
            <w:r>
              <w:rPr>
                <w:rFonts w:hint="eastAsia" w:ascii="微软雅黑" w:hAnsi="微软雅黑" w:eastAsia="微软雅黑"/>
                <w:b/>
                <w:bCs/>
                <w:color w:val="000000"/>
              </w:rPr>
              <w:t>根据人数定车型！</w:t>
            </w:r>
          </w:p>
          <w:p w14:paraId="597DBE0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000000"/>
              </w:rPr>
            </w:pPr>
            <w:r>
              <w:rPr>
                <w:rFonts w:hint="eastAsia" w:ascii="微软雅黑" w:hAnsi="微软雅黑" w:eastAsia="微软雅黑"/>
                <w:b/>
                <w:bCs/>
                <w:color w:val="C00000"/>
              </w:rPr>
              <w:t>【慢慢旅游】</w:t>
            </w:r>
            <w:r>
              <w:rPr>
                <w:rFonts w:hint="eastAsia" w:ascii="微软雅黑" w:hAnsi="微软雅黑" w:eastAsia="微软雅黑"/>
                <w:b/>
                <w:bCs/>
                <w:color w:val="000000"/>
              </w:rPr>
              <w:t>睡到自然醒、全程景点游玩时间灵活、不限制、深度体验！</w:t>
            </w:r>
          </w:p>
          <w:p w14:paraId="0B87F8F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000000"/>
              </w:rPr>
            </w:pPr>
            <w:r>
              <w:rPr>
                <w:rFonts w:hint="eastAsia" w:ascii="微软雅黑" w:hAnsi="微软雅黑" w:eastAsia="微软雅黑"/>
                <w:b/>
                <w:bCs/>
                <w:color w:val="C00000"/>
              </w:rPr>
              <w:t>【舒适住宿】</w:t>
            </w:r>
            <w:r>
              <w:rPr>
                <w:rFonts w:hint="eastAsia" w:ascii="微软雅黑" w:hAnsi="微软雅黑" w:eastAsia="微软雅黑"/>
                <w:b/>
                <w:bCs/>
                <w:color w:val="000000"/>
              </w:rPr>
              <w:t>全程当地豪华酒店、给您一个安心睡眠！</w:t>
            </w:r>
          </w:p>
          <w:p w14:paraId="1C6AB3F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000000"/>
              </w:rPr>
            </w:pPr>
            <w:r>
              <w:rPr>
                <w:rFonts w:hint="eastAsia" w:ascii="微软雅黑" w:hAnsi="微软雅黑" w:eastAsia="微软雅黑"/>
                <w:b/>
                <w:bCs/>
                <w:color w:val="C00000"/>
              </w:rPr>
              <w:t>【管家式】</w:t>
            </w:r>
            <w:r>
              <w:rPr>
                <w:rFonts w:hint="eastAsia" w:ascii="微软雅黑" w:hAnsi="微软雅黑" w:eastAsia="微软雅黑"/>
                <w:b/>
                <w:bCs/>
                <w:color w:val="000000"/>
              </w:rPr>
              <w:t>专属客服为您服务、有任何问题联系客服、</w:t>
            </w:r>
            <w:r>
              <w:rPr>
                <w:rFonts w:hint="eastAsia" w:ascii="微软雅黑" w:hAnsi="微软雅黑" w:eastAsia="微软雅黑"/>
                <w:b/>
                <w:bCs/>
                <w:color w:val="000000"/>
                <w:shd w:val="clear" w:color="auto" w:fill="F8F8F8"/>
              </w:rPr>
              <w:t>提供饮水、</w:t>
            </w:r>
            <w:r>
              <w:rPr>
                <w:rFonts w:hint="eastAsia" w:ascii="微软雅黑" w:hAnsi="微软雅黑" w:eastAsia="微软雅黑"/>
                <w:b/>
                <w:bCs/>
                <w:color w:val="000000"/>
              </w:rPr>
              <w:t>保障您的出行！</w:t>
            </w:r>
          </w:p>
          <w:p w14:paraId="2D66CAAD">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b/>
                <w:bCs/>
                <w:color w:val="000000"/>
              </w:rPr>
            </w:pPr>
            <w:r>
              <w:rPr>
                <w:rFonts w:hint="eastAsia" w:ascii="微软雅黑" w:hAnsi="微软雅黑" w:eastAsia="微软雅黑"/>
                <w:b/>
                <w:bCs/>
                <w:color w:val="C00000"/>
              </w:rPr>
              <w:t>【优选景点】</w:t>
            </w:r>
            <w:r>
              <w:rPr>
                <w:rFonts w:hint="eastAsia" w:ascii="微软雅黑" w:hAnsi="微软雅黑" w:eastAsia="微软雅黑"/>
                <w:b/>
                <w:bCs/>
                <w:color w:val="000000"/>
              </w:rPr>
              <w:t>乌江画廊赤壁观景台、武隆天生三硚、龙水峡地缝、仙女山、网红打卡李子轻轨、</w:t>
            </w:r>
          </w:p>
          <w:p w14:paraId="0216DDE6">
            <w:pPr>
              <w:keepNext w:val="0"/>
              <w:keepLines w:val="0"/>
              <w:pageBreakBefore w:val="0"/>
              <w:widowControl/>
              <w:kinsoku/>
              <w:wordWrap/>
              <w:overflowPunct/>
              <w:topLinePunct w:val="0"/>
              <w:autoSpaceDE/>
              <w:autoSpaceDN/>
              <w:bidi w:val="0"/>
              <w:adjustRightInd/>
              <w:snapToGrid/>
              <w:spacing w:line="360" w:lineRule="exact"/>
              <w:ind w:firstLine="1261" w:firstLineChars="600"/>
              <w:jc w:val="both"/>
              <w:textAlignment w:val="auto"/>
              <w:rPr>
                <w:rFonts w:hint="default" w:ascii="微软雅黑" w:hAnsi="微软雅黑" w:eastAsia="微软雅黑"/>
                <w:b/>
                <w:bCs/>
                <w:color w:val="000000"/>
                <w:lang w:val="en-US" w:eastAsia="zh-CN"/>
              </w:rPr>
            </w:pPr>
            <w:r>
              <w:rPr>
                <w:rFonts w:hint="eastAsia" w:ascii="微软雅黑" w:hAnsi="微软雅黑" w:eastAsia="微软雅黑"/>
                <w:b/>
                <w:bCs/>
                <w:color w:val="000000"/>
              </w:rPr>
              <w:t>洪崖洞、解放碑、磁器口</w:t>
            </w:r>
            <w:r>
              <w:rPr>
                <w:rFonts w:hint="eastAsia" w:ascii="微软雅黑" w:hAnsi="微软雅黑" w:eastAsia="微软雅黑"/>
                <w:b/>
                <w:bCs/>
                <w:color w:val="000000"/>
                <w:lang w:eastAsia="zh-CN"/>
              </w:rPr>
              <w:t>、</w:t>
            </w:r>
            <w:r>
              <w:rPr>
                <w:rFonts w:hint="eastAsia" w:ascii="微软雅黑" w:hAnsi="微软雅黑" w:eastAsia="微软雅黑"/>
                <w:b/>
                <w:bCs/>
                <w:color w:val="000000"/>
                <w:lang w:val="en-US" w:eastAsia="zh-CN"/>
              </w:rPr>
              <w:t>渣滓洞、白公馆、龙门浩老街、鹅岭二厂、第三步道、十八梯</w:t>
            </w:r>
          </w:p>
          <w:p w14:paraId="4D6A911C">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C00000"/>
              </w:rPr>
            </w:pPr>
            <w:r>
              <w:rPr>
                <w:rFonts w:hint="eastAsia" w:ascii="微软雅黑" w:hAnsi="微软雅黑" w:eastAsia="微软雅黑"/>
                <w:b/>
                <w:bCs/>
                <w:color w:val="C00000"/>
              </w:rPr>
              <w:t>【赠送特产】</w:t>
            </w:r>
            <w:r>
              <w:rPr>
                <w:rFonts w:hint="eastAsia" w:ascii="微软雅黑" w:hAnsi="微软雅黑" w:eastAsia="微软雅黑"/>
                <w:b/>
                <w:bCs/>
                <w:color w:val="000000" w:themeColor="text1"/>
                <w14:textFill>
                  <w14:solidFill>
                    <w14:schemeClr w14:val="tx1"/>
                  </w14:solidFill>
                </w14:textFill>
              </w:rPr>
              <w:t>独家每人赠送重庆土特产！</w:t>
            </w:r>
          </w:p>
          <w:p w14:paraId="3D1FE21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b/>
                <w:bCs/>
                <w:color w:val="000000" w:themeColor="text1"/>
                <w14:textFill>
                  <w14:solidFill>
                    <w14:schemeClr w14:val="tx1"/>
                  </w14:solidFill>
                </w14:textFill>
              </w:rPr>
            </w:pPr>
            <w:r>
              <w:rPr>
                <w:rFonts w:hint="eastAsia" w:ascii="微软雅黑" w:hAnsi="微软雅黑" w:eastAsia="微软雅黑"/>
                <w:b/>
                <w:bCs/>
                <w:color w:val="000000" w:themeColor="text1"/>
                <w14:textFill>
                  <w14:solidFill>
                    <w14:schemeClr w14:val="tx1"/>
                  </w14:solidFill>
                </w14:textFill>
              </w:rPr>
              <w:t>张艺谋曾在这里拍摄了《满城尽带黄金甲》，变形金刚4曾在这里取景</w:t>
            </w:r>
          </w:p>
          <w:p w14:paraId="64B0FBFC">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b/>
                <w:bCs/>
                <w:color w:val="000000" w:themeColor="text1"/>
                <w14:textFill>
                  <w14:solidFill>
                    <w14:schemeClr w14:val="tx1"/>
                  </w14:solidFill>
                </w14:textFill>
              </w:rPr>
            </w:pPr>
            <w:r>
              <w:rPr>
                <w:rFonts w:hint="eastAsia" w:ascii="微软雅黑" w:hAnsi="微软雅黑" w:eastAsia="微软雅黑"/>
                <w:b/>
                <w:bCs/>
                <w:color w:val="000000" w:themeColor="text1"/>
                <w14:textFill>
                  <w14:solidFill>
                    <w14:schemeClr w14:val="tx1"/>
                  </w14:solidFill>
                </w14:textFill>
              </w:rPr>
              <w:t>景区以天龙桥、青龙桥、黑龙桥三座气势磅礴的石拱桥组成</w:t>
            </w:r>
          </w:p>
          <w:p w14:paraId="7D6E5E60">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b/>
                <w:bCs/>
                <w:color w:val="000000" w:themeColor="text1"/>
                <w14:textFill>
                  <w14:solidFill>
                    <w14:schemeClr w14:val="tx1"/>
                  </w14:solidFill>
                </w14:textFill>
              </w:rPr>
            </w:pPr>
            <w:r>
              <w:rPr>
                <w:rFonts w:hint="eastAsia" w:ascii="微软雅黑" w:hAnsi="微软雅黑" w:eastAsia="微软雅黑"/>
                <w:b/>
                <w:bCs/>
                <w:color w:val="000000" w:themeColor="text1"/>
                <w14:textFill>
                  <w14:solidFill>
                    <w14:schemeClr w14:val="tx1"/>
                  </w14:solidFill>
                </w14:textFill>
              </w:rPr>
              <w:t>仙女山大草原被誉为“南国第一牧场”。</w:t>
            </w:r>
          </w:p>
          <w:p w14:paraId="31049D8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lang w:val="en-US" w:eastAsia="zh-CN"/>
              </w:rPr>
            </w:pPr>
            <w:r>
              <w:rPr>
                <w:rFonts w:hint="eastAsia" w:ascii="微软雅黑" w:hAnsi="微软雅黑" w:eastAsia="微软雅黑"/>
                <w:b/>
                <w:bCs/>
                <w:color w:val="FF0000"/>
              </w:rPr>
              <w:t>拒绝购物，我们只做真纯玩，让您全程享受真正的VIP服务，体验“真正的旅游”</w:t>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重庆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天生三桥-龙水峡地缝</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武隆</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仙女山大草原-乌江画廊赤壁观景台</w:t>
            </w:r>
            <w:r>
              <w:rPr>
                <w:rFonts w:hint="eastAsia" w:ascii="微软雅黑" w:hAnsi="微软雅黑" w:eastAsia="微软雅黑" w:cs="微软雅黑"/>
                <w:b/>
                <w:bCs/>
                <w:sz w:val="21"/>
                <w:szCs w:val="21"/>
                <w:lang w:val="en-US" w:eastAsia="zh-CN"/>
              </w:rPr>
              <w:t>-龙门浩老街-解放碑-洪崖洞（非夜景）</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渣滓洞-白公馆-磁器口--李子坝轻轨穿楼-</w:t>
            </w:r>
            <w:r>
              <w:rPr>
                <w:rFonts w:hint="eastAsia" w:ascii="微软雅黑" w:hAnsi="微软雅黑" w:eastAsia="微软雅黑" w:cs="微软雅黑"/>
                <w:b/>
                <w:bCs/>
                <w:sz w:val="21"/>
                <w:szCs w:val="21"/>
                <w:lang w:val="en-US" w:eastAsia="zh-CN"/>
              </w:rPr>
              <w:t>鹅岭二厂-山城步道-十八梯</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重庆</w:t>
            </w:r>
          </w:p>
        </w:tc>
      </w:tr>
      <w:tr w14:paraId="597A0F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6206A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A22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重庆</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5B5F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CB639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802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3CED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default"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出发地→重庆</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住宿/重庆</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6396167E">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抵达山城雾都-重庆，重庆专职人员在火车站或机场迎接，送酒店入住后自由活动。</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548784A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FF"/>
                <w:sz w:val="21"/>
                <w:szCs w:val="22"/>
                <w:lang w:val="en-US" w:eastAsia="zh-CN" w:bidi="zh-CN"/>
              </w:rPr>
            </w:pPr>
            <w:r>
              <w:rPr>
                <w:rFonts w:hint="eastAsia" w:ascii="微软雅黑" w:hAnsi="微软雅黑" w:eastAsia="微软雅黑" w:cs="微软雅黑"/>
                <w:color w:val="0000FF"/>
                <w:sz w:val="21"/>
                <w:szCs w:val="22"/>
                <w:lang w:val="en-US" w:eastAsia="zh-CN" w:bidi="zh-CN"/>
              </w:rPr>
              <w:t>【今日抵达重庆后接站司机会在车站迎接，请每位游客下车后保证手机畅通，等侯旅行社工作人员迎接，不要随便和陌生人交流，不要与陌生人随意走动，我社接站司机均有统一的工作牌，请认明并确认身份才上车】</w:t>
            </w:r>
          </w:p>
          <w:p w14:paraId="42A42CFA">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FF"/>
                <w:sz w:val="21"/>
                <w:szCs w:val="22"/>
                <w:lang w:val="en-US" w:eastAsia="zh-CN" w:bidi="zh-CN"/>
              </w:rPr>
            </w:pPr>
            <w:r>
              <w:rPr>
                <w:rFonts w:hint="eastAsia" w:ascii="微软雅黑" w:hAnsi="微软雅黑" w:eastAsia="微软雅黑" w:cs="微软雅黑"/>
                <w:color w:val="0000FF"/>
                <w:sz w:val="21"/>
                <w:szCs w:val="22"/>
                <w:lang w:val="en-US" w:eastAsia="zh-CN" w:bidi="zh-CN"/>
              </w:rPr>
              <w:t>★送至酒店自行办理入住后自由活动，无行程安排，不含导服、餐、车服务；由于线路为当地散客拼团，在不减少景点的情况下，行程游览顺序可能会有所调整。司机将在晚19点至22点之间短信或电话联系您第二天的接车时间，请您保持手机畅通。</w:t>
            </w:r>
          </w:p>
          <w:p w14:paraId="3D3E1B2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FF"/>
                <w:sz w:val="21"/>
                <w:szCs w:val="22"/>
                <w:lang w:val="en-US" w:eastAsia="zh-CN" w:bidi="zh-CN"/>
              </w:rPr>
              <w:t>★酒店押金请酒店前台自付，并保管好押金条，第二天退房时检查无误退还。</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天生三桥-龙水峡地缝                                   用餐/早 住宿/武隆</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0FA6B77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07:00 享用早餐——早上 8:00 左右在酒店大堂集合出发（出团前 1 天师傅通知为准），</w:t>
            </w:r>
          </w:p>
          <w:p w14:paraId="4E8CC8A8">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游览</w:t>
            </w:r>
            <w:r>
              <w:rPr>
                <w:rFonts w:hint="eastAsia" w:ascii="微软雅黑" w:hAnsi="微软雅黑" w:eastAsia="微软雅黑" w:cs="微软雅黑"/>
                <w:b/>
                <w:bCs/>
                <w:color w:val="FF0000"/>
                <w:sz w:val="21"/>
                <w:szCs w:val="22"/>
                <w:lang w:val="en-US" w:eastAsia="zh-CN" w:bidi="zh-CN"/>
              </w:rPr>
              <w:t>【天生三桥景区】</w:t>
            </w:r>
            <w:r>
              <w:rPr>
                <w:rFonts w:hint="eastAsia" w:ascii="微软雅黑" w:hAnsi="微软雅黑" w:eastAsia="微软雅黑" w:cs="微软雅黑"/>
                <w:color w:val="FF0000"/>
                <w:sz w:val="21"/>
                <w:szCs w:val="22"/>
                <w:lang w:val="en-US" w:eastAsia="zh-CN" w:bidi="zh-CN"/>
              </w:rPr>
              <w:t>（游览2.5个小时左右，需换乘景区交通车统一进出，换乘车费40元/人，旋转电梯45元/人、必须产生，费用不包含，电瓶车15元人，自愿消费）</w:t>
            </w: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，景区由天龙桥、青龙桥、黑龙桥组成，气势磅礴、恢宏，是亚洲最大的天生桥群。天龙桥顶天立地，桥高 200 米，跨度 300 米，因位居三桥第一，犹如飞龙在天，故而得名“天龙”。天龙桥下另有天生坑，坑内又生洞，且洞洞相连恍如克里特岛上的米诺斯迷宫，令人倍感神奇；青龙桥位居第二，是三桥之中垂直落差最大的一座。桥高 350 米，跨度 400 米。桥身青翠，藤蔓缠绕。待到日落西山，余晖尽洒，青龙桥下凉风习习，桥身也因日光的关系而变成了暗绿色正似一条青龙欲飞冲天；黑龙桥位居最后，桥色深暗，正如一条黑龙横卧于此。同时，黑龙桥还暗含各式清泉，“三迭泉”、“一线泉”、“珍珠泉”等不仅名字雅致好听，而且风光也是惹人心醉。泉水绕三桥，大大增强了三桥的灵动美感，令人心旷神怡。纵观三座天生桥，均以“龙”命名，这不仅形象地说明了三桥壮阔的体态与宏伟的气势，也表现出人类对于自然的崇拜与敬畏。张艺谋 06 年电影《满城尽带黄金甲》唯一外景地、《变形金刚 4》中国外景地之一、世界地质奇观，国家 AAAAA 级风景名胜区；隆天坑三硚景区以其壮丽而独特的“三硚夹两坑”景观称奇于世，天生桥群和天坑群相映生辉，坑与坑之间以桥洞相望，桥与桥之间以坑相连，规模宏大，气势磅礴，瑰丽壮；亲临拍摄地、观看投资 200 万修建的唐朝古驿。</w:t>
            </w:r>
          </w:p>
          <w:p w14:paraId="34F392D4">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天生三桥出口直接乘坐换车前往</w:t>
            </w:r>
            <w:r>
              <w:rPr>
                <w:rFonts w:hint="eastAsia" w:ascii="微软雅黑" w:hAnsi="微软雅黑" w:eastAsia="微软雅黑" w:cs="微软雅黑"/>
                <w:b/>
                <w:bCs/>
                <w:color w:val="FF0000"/>
                <w:sz w:val="21"/>
                <w:szCs w:val="22"/>
                <w:lang w:val="en-US" w:eastAsia="zh-CN" w:bidi="zh-CN"/>
              </w:rPr>
              <w:t>【龙水峡地缝】</w:t>
            </w:r>
            <w:r>
              <w:rPr>
                <w:rFonts w:hint="eastAsia" w:ascii="微软雅黑" w:hAnsi="微软雅黑" w:eastAsia="微软雅黑" w:cs="微软雅黑"/>
                <w:color w:val="FF0000"/>
                <w:sz w:val="21"/>
                <w:szCs w:val="22"/>
                <w:lang w:val="en-US" w:eastAsia="zh-CN" w:bidi="zh-CN"/>
              </w:rPr>
              <w:t>（游览2小时左右，需换乘景区交通车统一进出，换乘车费35元/人，必须产生，费用不包含）</w:t>
            </w: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游览武隆龙水峡地缝景区位于武隆仙女山南麓，与武隆天坑景区是同生在洋水河大峡谷上的姊妹景区，但风光迥然不同，属神秘难得可进入性且观赏性特强的地缝景观。景区玲珑剔透，精雕细琢，全长 2 公里，最窄处仅 1 米，从谷顶到谷底高差可达 200—400 米。景区内游览线路全栈道设计，科学合理；谷顶谷底之间设有国内第一部 80 米室外景区观光电梯接送，观之外面秀色尽收眼底；天然洞内碧潭中喷泉流水，栈道穿 30 米瀑布水帘，奇哉妙哉。地缝中老树藤萝盘绕，泉水流瀑挂壁，险峻幽深，怪石峥嵘，明涧湍急。抬眼望，壁立千仞，天光曦微，让人昏昏然不知身之何处。可以说，观龙水峡地缝，可知百万年地质变化 幽邃梦境龙水峡是喀斯特峡谷地貌的浓缩精华版，全长 4 公里，山道弯弯嵌绿树，小溪潺潺扬迷雾，幽邃的龙水峡地缝静得让人听得到心跳。人在栈道行，水在脚边流， 水因地势、乱石而异向，或急或缓。身在谷底，仰视天小，峰回路转，远树白云，俯仰之间，不由顿生柳暗花明之感。俯身掬水湿面，温润如玉，跋涉的尘埃早已烟消云散，疲惫的身心在此经拂，顿觉清爽沁入五脏六腑，这大概是一种“净化” 吧……</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83" w:type="dxa"/>
            <w:gridSpan w:val="6"/>
            <w:tcBorders>
              <w:top w:val="single" w:color="auto" w:sz="4" w:space="0"/>
              <w:left w:val="single" w:color="auto" w:sz="4" w:space="0"/>
              <w:bottom w:val="single" w:color="auto" w:sz="4" w:space="0"/>
              <w:right w:val="single" w:color="auto" w:sz="4" w:space="0"/>
            </w:tcBorders>
          </w:tcPr>
          <w:p w14:paraId="5168E3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1、以上行程安排及时间仅供参考，导游有权根据实际情况做适当调整。</w:t>
            </w:r>
          </w:p>
          <w:p w14:paraId="61D30A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2、天生三桥产生40元/人换车费+龙水峡地缝35元/人换车费+旋转电梯45元/人，景区小交通必须产生！</w:t>
            </w:r>
          </w:p>
          <w:p w14:paraId="4855E6C0">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color w:val="FF0000"/>
                <w:kern w:val="2"/>
                <w:sz w:val="21"/>
                <w:szCs w:val="22"/>
                <w:lang w:val="en-US" w:eastAsia="zh-CN" w:bidi="zh-CN"/>
              </w:rPr>
              <w:t>3、天坑出口电瓶车15元选择消费！</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numPr>
                <w:ilvl w:val="0"/>
                <w:numId w:val="0"/>
              </w:numPr>
              <w:ind w:left="9245" w:leftChars="0" w:hanging="9245" w:hangingChars="3300"/>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仙女山</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乌江画廊赤壁观景台</w:t>
            </w:r>
            <w:r>
              <w:rPr>
                <w:rFonts w:hint="eastAsia" w:ascii="微软雅黑" w:hAnsi="微软雅黑" w:eastAsia="微软雅黑" w:cs="微软雅黑"/>
                <w:b/>
                <w:bCs/>
                <w:color w:val="FFFFFF"/>
                <w:sz w:val="28"/>
                <w:szCs w:val="28"/>
                <w:lang w:val="en-US" w:eastAsia="zh-CN"/>
              </w:rPr>
              <w:t>/龙门浩/解放碑/洪崖洞（非夜景） 用餐/早 住宿/重庆</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83" w:type="dxa"/>
            <w:gridSpan w:val="6"/>
            <w:tcBorders>
              <w:top w:val="single" w:color="auto" w:sz="4" w:space="0"/>
              <w:left w:val="single" w:color="auto" w:sz="4" w:space="0"/>
              <w:bottom w:val="single" w:color="auto" w:sz="4" w:space="0"/>
              <w:right w:val="single" w:color="auto" w:sz="4" w:space="0"/>
            </w:tcBorders>
          </w:tcPr>
          <w:p w14:paraId="5C8D322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07:00 享用早餐—— 酒店早餐 | 用餐时间: 约30分钟</w:t>
            </w:r>
          </w:p>
          <w:p w14:paraId="6D756C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游览享有“东方瑞士”之称</w:t>
            </w:r>
            <w:r>
              <w:rPr>
                <w:rFonts w:hint="eastAsia" w:ascii="微软雅黑" w:hAnsi="微软雅黑" w:eastAsia="微软雅黑" w:cs="微软雅黑"/>
                <w:b/>
                <w:bCs/>
                <w:color w:val="FF0000"/>
                <w:kern w:val="2"/>
                <w:sz w:val="21"/>
                <w:szCs w:val="22"/>
                <w:lang w:val="en-US" w:eastAsia="zh-CN" w:bidi="zh-CN"/>
              </w:rPr>
              <w:t>【仙女山国家森林公园】</w:t>
            </w:r>
            <w:r>
              <w:rPr>
                <w:rFonts w:hint="eastAsia" w:ascii="微软雅黑" w:hAnsi="微软雅黑" w:eastAsia="微软雅黑" w:cs="微软雅黑"/>
                <w:color w:val="FF0000"/>
                <w:kern w:val="2"/>
                <w:sz w:val="21"/>
                <w:szCs w:val="22"/>
                <w:lang w:val="en-US" w:eastAsia="zh-CN" w:bidi="zh-CN"/>
              </w:rPr>
              <w:t>（游览1.5小时左右，小火车25元人，费用不含自愿消费）</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，平均海拔1900米，高峰2033米，拥有森林33万亩，天然草原10万亩，以其江南独具魅力的高山草原，被誉为“南国第一牧场”；可以在草原里漫步，享受阳光的温暖普照。</w:t>
            </w:r>
          </w:p>
          <w:p w14:paraId="57C33E3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乘车前往</w:t>
            </w:r>
            <w:r>
              <w:rPr>
                <w:rFonts w:hint="eastAsia" w:ascii="微软雅黑" w:hAnsi="微软雅黑" w:eastAsia="微软雅黑" w:cs="微软雅黑"/>
                <w:b/>
                <w:bCs/>
                <w:color w:val="FF0000"/>
                <w:kern w:val="2"/>
                <w:sz w:val="21"/>
                <w:szCs w:val="22"/>
                <w:lang w:val="zh-CN" w:eastAsia="zh-CN" w:bidi="zh-CN"/>
              </w:rPr>
              <w:t>【乌江赤壁观景台】</w:t>
            </w:r>
            <w:r>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t>近距离观赏美丽的乌江美景，区别于三峡的绮丽与磅礴，乌江风光更显得富有灵气与险峻。山依偎着水，水映照着山，静静的和谐，淡淡的孤寂，闲散的心境一如人生，慢慢的把岁月怀念。</w:t>
            </w:r>
          </w:p>
          <w:p w14:paraId="6E4629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后乘车返回重庆市区</w:t>
            </w:r>
          </w:p>
          <w:p w14:paraId="0325E6F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zh-CN" w:eastAsia="zh-CN" w:bidi="zh-CN"/>
              </w:rPr>
              <w:t>【</w:t>
            </w:r>
            <w:r>
              <w:rPr>
                <w:rFonts w:hint="eastAsia" w:ascii="微软雅黑" w:hAnsi="微软雅黑" w:eastAsia="微软雅黑" w:cs="微软雅黑"/>
                <w:b/>
                <w:bCs/>
                <w:color w:val="FF0000"/>
                <w:kern w:val="2"/>
                <w:sz w:val="21"/>
                <w:szCs w:val="22"/>
                <w:lang w:val="en-US" w:eastAsia="zh-CN" w:bidi="zh-CN"/>
              </w:rPr>
              <w:t>龙门浩老街</w:t>
            </w:r>
            <w:r>
              <w:rPr>
                <w:rFonts w:hint="eastAsia" w:ascii="微软雅黑" w:hAnsi="微软雅黑" w:eastAsia="微软雅黑" w:cs="微软雅黑"/>
                <w:b/>
                <w:bCs/>
                <w:color w:val="FF0000"/>
                <w:kern w:val="2"/>
                <w:sz w:val="21"/>
                <w:szCs w:val="22"/>
                <w:lang w:val="zh-CN" w:eastAsia="zh-CN" w:bidi="zh-CN"/>
              </w:rPr>
              <w:t>】</w:t>
            </w:r>
            <w:r>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t>是目前重庆主城区规模最大、保存最完好的历史文化老街，亦是明朝“巴渝八景”及清代“巴渝十二景”中的“龙门浩月”所在地。这里不仅保存了大量开埠时期的外国使馆与老建筑，还因滨临江而拥有了极为开阔的视野，是眺望渝中半岛的绝佳选择!</w:t>
            </w:r>
          </w:p>
          <w:p w14:paraId="00283F7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【洪崖洞】</w:t>
            </w:r>
            <w:r>
              <w:rPr>
                <w:rFonts w:hint="eastAsia" w:ascii="微软雅黑" w:hAnsi="微软雅黑" w:eastAsia="微软雅黑" w:cs="微软雅黑"/>
                <w:color w:val="FF0000"/>
                <w:kern w:val="2"/>
                <w:sz w:val="21"/>
                <w:szCs w:val="22"/>
                <w:lang w:val="en-US" w:eastAsia="zh-CN" w:bidi="zh-CN"/>
              </w:rPr>
              <w:t>（备注：非夜景）</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—洪崖洞位于重庆市核心商圈解放碑沧白路、长江、</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"https://baike.so.com/doc/5429249-5667473.html" \t "https://baike.so.com/doc/_blank"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嘉陵江</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两江交汇的滨江地带，坐拥城市旅游景观、商务休闲景观和城市人文景观于一体。以具巴渝传统建筑特色的"</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"https://baike.so.com/doc/1935547-2047723.html" \t "https://baike.so.com/doc/_blank"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吊脚楼</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"风貌为主体，依山就势，沿江而建，解放碑直达江滨。</w:t>
            </w:r>
          </w:p>
          <w:p w14:paraId="21167C8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【解放碑】</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原名抗战胜利纪功碑，是全中国唯一的一座纪念中华民族抗日战争胜利的国家纪念碑，以纪念重庆对于国家的伟大贡献，它是抗战胜利和重庆解放的历史见证。碑体绝大部分呈白色，有些地方是肉色，上端有几架大钟，朝着四面八方，每到整点时，便会响起声音。塔是八角形的，最顶端有几根天线。</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83" w:type="dxa"/>
            <w:gridSpan w:val="6"/>
            <w:tcBorders>
              <w:top w:val="single" w:color="auto" w:sz="4" w:space="0"/>
              <w:left w:val="single" w:color="auto" w:sz="4" w:space="0"/>
              <w:bottom w:val="single" w:color="auto" w:sz="4" w:space="0"/>
              <w:right w:val="single" w:color="auto" w:sz="4" w:space="0"/>
            </w:tcBorders>
          </w:tcPr>
          <w:p w14:paraId="199D8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1、以上行程安排及时间仅供参考，导游有权根据实际情况做适当调整！</w:t>
            </w:r>
          </w:p>
          <w:p w14:paraId="24A62B7A">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FF0000"/>
                <w:kern w:val="2"/>
                <w:sz w:val="21"/>
                <w:szCs w:val="22"/>
                <w:lang w:val="en-US" w:eastAsia="zh-CN" w:bidi="zh-CN"/>
              </w:rPr>
              <w:t>2、仙女山小火车25元人自愿选择消费！</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1825CCC9">
            <w:pPr>
              <w:numPr>
                <w:ilvl w:val="0"/>
                <w:numId w:val="0"/>
              </w:numPr>
              <w:ind w:left="9245" w:leftChars="0" w:hanging="9245" w:hangingChars="33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2"/>
                <w:sz w:val="28"/>
                <w:szCs w:val="28"/>
                <w:lang w:val="en-US" w:eastAsia="zh-CN" w:bidi="ar-SA"/>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渣滓洞-白公馆-磁器口--李子坝轻轨穿楼-</w:t>
            </w:r>
            <w:r>
              <w:rPr>
                <w:rFonts w:hint="eastAsia" w:ascii="微软雅黑" w:hAnsi="微软雅黑" w:eastAsia="微软雅黑" w:cs="微软雅黑"/>
                <w:b/>
                <w:bCs/>
                <w:color w:val="FFFFFF"/>
                <w:sz w:val="28"/>
                <w:szCs w:val="28"/>
                <w:lang w:val="en-US" w:eastAsia="zh-CN"/>
              </w:rPr>
              <w:t xml:space="preserve">鹅岭二厂-山城步道-十八梯 </w:t>
            </w:r>
          </w:p>
          <w:p w14:paraId="487538FA">
            <w:pPr>
              <w:numPr>
                <w:ilvl w:val="0"/>
                <w:numId w:val="0"/>
              </w:numPr>
              <w:ind w:left="9245" w:leftChars="667" w:hanging="7844" w:hangingChars="2800"/>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 xml:space="preserve">                                                     用餐/早 住宿/重庆</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top w:val="single" w:color="auto" w:sz="4" w:space="0"/>
              <w:left w:val="single" w:color="auto" w:sz="4" w:space="0"/>
              <w:bottom w:val="single" w:color="auto" w:sz="4" w:space="0"/>
              <w:right w:val="single" w:color="auto" w:sz="4" w:space="0"/>
            </w:tcBorders>
          </w:tcPr>
          <w:p w14:paraId="772FFC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08:00 享用早餐—— 酒店早餐 | 用餐时间: 约30分钟</w:t>
            </w:r>
          </w:p>
          <w:p w14:paraId="2F46D6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w:t>
            </w:r>
            <w:r>
              <w:rPr>
                <w:rFonts w:hint="eastAsia" w:ascii="微软雅黑" w:hAnsi="微软雅黑" w:eastAsia="微软雅黑" w:cs="微软雅黑"/>
                <w:b/>
                <w:bCs/>
                <w:color w:val="FF0000"/>
                <w:kern w:val="2"/>
                <w:sz w:val="21"/>
                <w:szCs w:val="22"/>
                <w:lang w:val="en-US" w:eastAsia="zh-CN" w:bidi="zh-CN"/>
              </w:rPr>
              <w:t>【渣滓洞】（电瓶车20元/人费用不含，必须乘坐）</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渣滓洞原是重庆郊外的一个小煤窑，因渣多煤少而得名。渣滓洞三面是山，一面是沟，位置较隐蔽。1939年，国民党军统特务逼死矿主，霸占煤窑，在此设立了监狱。关押在此的有“六一”大逮捕案、“小民革”案、“</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"https://baike.baidu.com/item/%E6%8C%BA%E8%BF%9B%E6%8A%A5/3779736"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挺进报</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”案、上下川东三次武装起义失败后被捕的革命者，此地还曾居住过“</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"https://baike.baidu.com/item/%E5%B0%8F%E8%90%9D%E5%8D%9C%E5%A4%B4/3076595"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小萝卜头</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”和他们一家人。1949年11月27日国民党特务在溃逃前夕策划了震惊中外的大屠杀，仅15人脱险。有文艺作品《</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"https://baike.baidu.com/item/%E7%83%88%E7%81%AB%E4%B8%AD%E6%B0%B8%E7%94%9F/1956475"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烈火中永生</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"https://baike.baidu.com/item/%E7%BA%A2%E5%B2%A9/23352"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红岩</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"https://baike.baidu.com/item/%E6%B1%9F%E5%A7%90/2236446"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江姐</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》等以此为原型。</w:t>
            </w:r>
          </w:p>
          <w:p w14:paraId="6D9576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【白公馆】</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位于重庆市沙坪坝区歌乐山，白公馆原为四川军阀白驹的郊外别墅。白公馆1943年“中美合作所”成立后，白公馆曾改为来华美军人员招待所，到1945年又作为特别看守所重新关人，是一处缅怀英烈并让人为之扼腕叹息的革命遗迹。</w:t>
            </w:r>
          </w:p>
          <w:p w14:paraId="137816C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【磁器口古镇】</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磁器口古镇，位于重庆市区旁，当年是热闹的水陆码头，踩踩青石板路，品尝当地的美食小吃，找个茶馆坐坐，感受下老重庆的风土人情。因为距离市区很近，如今的古镇也是市民休闲娱乐的好去处。古镇有十几条街巷，两旁边都是明清风格的建筑。镇内能够品尝到当地的美食和小吃。毛血旺、千张皮和椒盐花生是镇上的“美食三绝”。更出名的是“陈麻花”。</w:t>
            </w:r>
          </w:p>
          <w:p w14:paraId="45834A8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【李子坝轻轨观景台】</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重庆的轻轨路线用“依山傍水穿城而过”来形容绝不为过。跨桥过江的、山间行驶的、穿楼而过的，皆是风景。其中，轻轨二号线李子坝站，更是因为“穿楼而过”成为外地网友争相追捧的网红地。在李子坝公园外，靠牛角沱方向，一眼就能看到轻轨在这里穿进穿出，非常神奇。</w:t>
            </w:r>
          </w:p>
          <w:p w14:paraId="006D14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随后前往</w:t>
            </w:r>
            <w:r>
              <w:rPr>
                <w:rFonts w:hint="eastAsia" w:ascii="微软雅黑" w:hAnsi="微软雅黑" w:eastAsia="微软雅黑" w:cs="微软雅黑"/>
                <w:b/>
                <w:bCs/>
                <w:color w:val="FF0000"/>
                <w:kern w:val="2"/>
                <w:sz w:val="21"/>
                <w:szCs w:val="22"/>
                <w:lang w:val="en-US" w:eastAsia="zh-CN" w:bidi="zh-CN"/>
              </w:rPr>
              <w:t>【鹅岭贰厂文创公园】</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时间不低于40分钟）鹅岭二厂文创公园位于重庆市渝中区鹅岭正街1号，公园前身始建于1937年。所在地是重庆渝中半岛最高处，可以同时看到长江和嘉陵江风光。鹅岭二厂近有李子坝抗战遗址公园、史迪威将军故居、李子坝地铁站等景点。是成渝潮流新地标。</w:t>
            </w:r>
          </w:p>
          <w:p w14:paraId="60AEF63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后游览</w:t>
            </w:r>
            <w:r>
              <w:rPr>
                <w:rFonts w:hint="eastAsia" w:ascii="微软雅黑" w:hAnsi="微软雅黑" w:eastAsia="微软雅黑" w:cs="微软雅黑"/>
                <w:b/>
                <w:bCs/>
                <w:color w:val="FF0000"/>
                <w:kern w:val="2"/>
                <w:sz w:val="21"/>
                <w:szCs w:val="22"/>
                <w:lang w:val="en-US" w:eastAsia="zh-CN" w:bidi="zh-CN"/>
              </w:rPr>
              <w:t>【山城步道】</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（游览时间不低于60分钟），一条坡度较高的历史古道。如今维护和保持了老山城的行走爬山的本色，增加了现代元素，将历史文化与现代景观，观光串联在一起，属重庆地方特色的独有旅游观光品牌。</w:t>
            </w:r>
          </w:p>
          <w:p w14:paraId="1FD6847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【十八梯】</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时间不低于60分钟），十八梯作为衔接老重庆上半城与下半城的纽带，是“母城”文化的重要传承延续地，承载着山城人的记忆。十八梯展现的“天生重庆”的山地城市形态与空间特色，“横街纵巷”的道路结构和“上坡下坎，弯弯拐拐”的街巷空间共同构成了传统的山城人居空间，承载了市井生活的变迁，时空格局的演进，是地区性政治、经济、文化等共同作用的时空产物。</w:t>
            </w:r>
          </w:p>
          <w:p w14:paraId="280FA63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FF0000"/>
                <w:kern w:val="2"/>
                <w:sz w:val="21"/>
                <w:szCs w:val="22"/>
                <w:lang w:val="en-US" w:eastAsia="zh-CN" w:bidi="zh-CN"/>
              </w:rPr>
              <w:t>渣滓洞、白公馆星期一闭馆，如遇闭馆更换为：中山四路</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83" w:type="dxa"/>
            <w:gridSpan w:val="6"/>
            <w:tcBorders>
              <w:top w:val="single" w:color="auto" w:sz="4" w:space="0"/>
              <w:left w:val="single" w:color="auto" w:sz="4" w:space="0"/>
              <w:bottom w:val="single" w:color="auto" w:sz="4" w:space="0"/>
              <w:right w:val="single" w:color="auto" w:sz="4" w:space="0"/>
            </w:tcBorders>
          </w:tcPr>
          <w:p w14:paraId="0F2B49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1、以上行程安排及时间仅供参考，导游有权根据实际情况做适当调整。</w:t>
            </w:r>
          </w:p>
          <w:p w14:paraId="373CE8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color w:val="FF0000"/>
                <w:kern w:val="2"/>
                <w:sz w:val="21"/>
                <w:szCs w:val="22"/>
                <w:lang w:val="en-US" w:eastAsia="zh-CN" w:bidi="zh-CN"/>
              </w:rPr>
              <w:t>2、渣滓洞景区换车费20元/人必须乘坐！</w:t>
            </w:r>
          </w:p>
        </w:tc>
      </w:tr>
      <w:tr w14:paraId="00100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575D406D">
            <w:pPr>
              <w:pStyle w:val="5"/>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kern w:val="2"/>
                <w:sz w:val="28"/>
                <w:szCs w:val="28"/>
                <w:lang w:val="en-US" w:eastAsia="zh-CN" w:bidi="ar-SA"/>
              </w:rPr>
              <w:t>天 重庆-出发地</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 住宿/温馨的家</w:t>
            </w:r>
          </w:p>
        </w:tc>
      </w:tr>
      <w:tr w14:paraId="67A28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83" w:type="dxa"/>
            <w:gridSpan w:val="6"/>
            <w:tcBorders>
              <w:top w:val="single" w:color="auto" w:sz="4" w:space="0"/>
              <w:left w:val="single" w:color="auto" w:sz="4" w:space="0"/>
              <w:bottom w:val="single" w:color="auto" w:sz="4" w:space="0"/>
              <w:right w:val="single" w:color="auto" w:sz="4" w:space="0"/>
            </w:tcBorders>
          </w:tcPr>
          <w:p w14:paraId="02F67FB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早餐后自由活动，地接旅行社根据游客的车次或航班时间，安排提前二小时送达车站；游客乘坐由组团社定购的团队车次返回家乡，结束难忘的山城之旅。</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83" w:type="dxa"/>
            <w:gridSpan w:val="6"/>
            <w:tcBorders>
              <w:top w:val="single" w:color="auto" w:sz="4" w:space="0"/>
              <w:left w:val="single" w:color="auto" w:sz="4" w:space="0"/>
              <w:bottom w:val="single" w:color="auto" w:sz="4" w:space="0"/>
              <w:right w:val="single" w:color="auto" w:sz="4" w:space="0"/>
            </w:tcBorders>
          </w:tcPr>
          <w:p w14:paraId="6A2D56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1.因为是散客拼团，游客可能来自不同的地区省市，所以，返程车次或航班均不一致，地接旅行社会根据每位游客不同的返程时间安排提前送站，请游客一定保持手机畅通，耐心等侯旅行社工作人员的联系。</w:t>
            </w:r>
          </w:p>
          <w:p w14:paraId="641A26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2.重庆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p w14:paraId="69ECBC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3.接送机服务是地接旅行社免费赠送服务，是突出特色的增值服务，不用不退费不更换等价项目，只限于酒店接人，不接受更换地点，敬请知晓！</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83"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4B48D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rPr>
              <w:t>1、</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门票：天生三桥、龙水峡地缝、仙女山景区 首道大门票、不含景区小交通、不含景区讲解</w:t>
            </w:r>
          </w:p>
          <w:p w14:paraId="4BC11B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2、酒店：全程入住豪4钻酒店，房型提供双人标间，确保每人每晚一床位，如遇单男单女时，旅行社征得游客同意后拆分夫妻（或者在条件允许下拼房）。如无法安排时，游客自愿现补单房差（如出现多人单人情况。请提前补足单房差，或则默认不指定三人间/家庭房/加床）     </w:t>
            </w:r>
          </w:p>
          <w:p w14:paraId="4402C7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3、餐费：4早（早餐为酒店占床赠送，不用不退），不占床不含早餐，如需含早费用自理！</w:t>
            </w:r>
          </w:p>
          <w:p w14:paraId="5DFFEB2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用餐均按旅游包价组合消费，任一项取消均不退费，不再享受二次优惠</w:t>
            </w:r>
          </w:p>
          <w:p w14:paraId="2249492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土特产为赠送，不用不退！</w:t>
            </w:r>
          </w:p>
          <w:p w14:paraId="429DFB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4、交通：根据实际人数选用小车或者商务车，保证一人一个正座；（接站司机接站游客。）</w:t>
            </w:r>
          </w:p>
          <w:p w14:paraId="18113B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5、导服：</w:t>
            </w:r>
            <w:r>
              <w:rPr>
                <w:rFonts w:hint="eastAsia" w:ascii="微软雅黑" w:hAnsi="微软雅黑" w:eastAsia="微软雅黑" w:cs="微软雅黑"/>
                <w:color w:val="FF0000"/>
                <w:kern w:val="2"/>
                <w:sz w:val="21"/>
                <w:szCs w:val="22"/>
                <w:highlight w:val="yellow"/>
                <w:lang w:val="en-US" w:eastAsia="zh-CN" w:bidi="zh-CN"/>
              </w:rPr>
              <w:t>全程无导游，景区自行游览，无人陪同，司机协助购买景区大门票！</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  </w:t>
            </w:r>
          </w:p>
          <w:p w14:paraId="54DC64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每人赠送重庆土特产1份</w:t>
            </w:r>
          </w:p>
          <w:p w14:paraId="6B1F595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FF0000"/>
                <w:kern w:val="2"/>
                <w:sz w:val="21"/>
                <w:szCs w:val="22"/>
                <w:lang w:val="en-US" w:eastAsia="zh-CN" w:bidi="zh-CN"/>
              </w:rPr>
              <w:t>（赠送项目为产品体验项目，不做等价调换，最终解释权归旅行社所有）</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83"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0B9F9324">
            <w:pPr>
              <w:keepNext w:val="0"/>
              <w:keepLines w:val="0"/>
              <w:suppressLineNumbers w:val="0"/>
              <w:snapToGrid w:val="0"/>
              <w:spacing w:before="0" w:beforeAutospacing="0" w:after="0" w:afterAutospacing="0"/>
              <w:ind w:left="0" w:leftChars="0" w:right="0" w:rightChars="0"/>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1、如1人全程入住相应指定酒店单独包房，需补单房差。</w:t>
            </w:r>
          </w:p>
          <w:p w14:paraId="4E5A3F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2、不可抗力原因所引致的额外费用，因交通延阻、罢工、天气、飞机机器故障、航班取消或更改时间等不可抗力原因所引致的额外费用。 景区配套便民服务设施及体验项目 </w:t>
            </w:r>
          </w:p>
          <w:p w14:paraId="1E8A2B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a、</w:t>
            </w:r>
            <w:r>
              <w:rPr>
                <w:rFonts w:hint="eastAsia" w:ascii="微软雅黑" w:hAnsi="微软雅黑" w:eastAsia="微软雅黑" w:cs="微软雅黑"/>
                <w:b/>
                <w:bCs/>
                <w:color w:val="FF0000"/>
                <w:kern w:val="2"/>
                <w:sz w:val="21"/>
                <w:szCs w:val="22"/>
                <w:highlight w:val="yellow"/>
                <w:lang w:val="en-US" w:eastAsia="zh-CN" w:bidi="zh-CN"/>
              </w:rPr>
              <w:t>必消项目：天生三桥换车40元/人，旋转电梯45元/人、龙水峡地缝换车35元/人 渣滓洞换车20元/人费用必须产生。</w:t>
            </w:r>
          </w:p>
          <w:p w14:paraId="6D1463F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b、天坑景区出口电瓶车15元/人 ，仙女山小火车40元人，自愿自理，</w:t>
            </w:r>
            <w:bookmarkStart w:id="0" w:name="_GoBack"/>
            <w:bookmarkEnd w:id="0"/>
          </w:p>
          <w:p w14:paraId="3E3CA82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C、其他/以上“服务提供项目—报价包含内容”里未提及包含的一切费用均未含。</w:t>
            </w:r>
          </w:p>
          <w:p w14:paraId="42F10C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4、不含景区讲解</w:t>
            </w:r>
          </w:p>
          <w:p w14:paraId="07DCFC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FF0000"/>
                <w:kern w:val="2"/>
                <w:sz w:val="21"/>
                <w:szCs w:val="22"/>
                <w:highlight w:val="yellow"/>
                <w:lang w:val="en-US" w:eastAsia="zh-CN" w:bidi="zh-CN"/>
              </w:rPr>
              <w:t>关于开展2020年塑料污染治理工作部委联合专项行动的指示：全市范围内所有旅游星级饭店、酒店、民宿等场所不再主动提供一次性塑料用品。请所有入住客人自带牙具等清洁物品。</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31CAB0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b/>
                <w:bCs/>
              </w:rPr>
              <w:t>重庆参考酒店</w:t>
            </w:r>
            <w:r>
              <w:rPr>
                <w:rFonts w:hint="eastAsia" w:ascii="微软雅黑" w:hAnsi="微软雅黑" w:eastAsia="微软雅黑" w:cs="微软雅黑"/>
              </w:rPr>
              <w:t>：</w:t>
            </w:r>
            <w:r>
              <w:rPr>
                <w:rFonts w:hint="eastAsia" w:ascii="微软雅黑" w:hAnsi="微软雅黑" w:eastAsia="微软雅黑" w:cs="微软雅黑"/>
                <w:lang w:eastAsia="zh-CN"/>
              </w:rPr>
              <w:t>泊尊云镜酒店、</w:t>
            </w:r>
            <w:r>
              <w:rPr>
                <w:rFonts w:hint="eastAsia" w:ascii="微软雅黑" w:hAnsi="微软雅黑" w:eastAsia="微软雅黑" w:cs="微软雅黑"/>
              </w:rPr>
              <w:t>维也纳</w:t>
            </w:r>
            <w:r>
              <w:rPr>
                <w:rFonts w:hint="eastAsia" w:ascii="微软雅黑" w:hAnsi="微软雅黑" w:eastAsia="微软雅黑" w:cs="微软雅黑"/>
                <w:lang w:eastAsia="zh-CN"/>
              </w:rPr>
              <w:t>国际</w:t>
            </w:r>
            <w:r>
              <w:rPr>
                <w:rFonts w:hint="eastAsia" w:ascii="微软雅黑" w:hAnsi="微软雅黑" w:eastAsia="微软雅黑" w:cs="微软雅黑"/>
              </w:rPr>
              <w:t>酒店、丽呈睿轩酒店、海棠烟雨、</w:t>
            </w:r>
            <w:r>
              <w:rPr>
                <w:rFonts w:hint="eastAsia" w:ascii="微软雅黑" w:hAnsi="微软雅黑" w:eastAsia="微软雅黑" w:cs="微软雅黑"/>
                <w:lang w:eastAsia="zh-CN"/>
              </w:rPr>
              <w:t>海棠丽致酒店、</w:t>
            </w:r>
            <w:r>
              <w:rPr>
                <w:rFonts w:hint="eastAsia" w:ascii="微软雅黑" w:hAnsi="微软雅黑" w:eastAsia="微软雅黑" w:cs="微软雅黑"/>
              </w:rPr>
              <w:t>伊凡酒店、蔚徕、柏曼、宜尚PIUS酒店、长安酒店、</w:t>
            </w:r>
            <w:r>
              <w:rPr>
                <w:rFonts w:hint="eastAsia" w:ascii="微软雅黑" w:hAnsi="微软雅黑" w:eastAsia="微软雅黑" w:cs="微软雅黑"/>
                <w:lang w:eastAsia="zh-CN"/>
              </w:rPr>
              <w:t>梵朴</w:t>
            </w:r>
            <w:r>
              <w:rPr>
                <w:rFonts w:hint="eastAsia" w:ascii="微软雅黑" w:hAnsi="微软雅黑" w:eastAsia="微软雅黑" w:cs="微软雅黑"/>
              </w:rPr>
              <w:t>酒店、</w:t>
            </w:r>
            <w:r>
              <w:rPr>
                <w:rFonts w:hint="eastAsia" w:ascii="微软雅黑" w:hAnsi="微软雅黑" w:eastAsia="微软雅黑" w:cs="微软雅黑"/>
                <w:lang w:eastAsia="zh-CN"/>
              </w:rPr>
              <w:t>枫郡雅致酒店</w:t>
            </w:r>
            <w:r>
              <w:rPr>
                <w:rFonts w:hint="eastAsia" w:ascii="微软雅黑" w:hAnsi="微软雅黑" w:eastAsia="微软雅黑" w:cs="微软雅黑"/>
              </w:rPr>
              <w:t>、</w:t>
            </w:r>
            <w:r>
              <w:rPr>
                <w:rFonts w:hint="eastAsia" w:ascii="微软雅黑" w:hAnsi="微软雅黑" w:eastAsia="微软雅黑" w:cs="微软雅黑"/>
                <w:lang w:eastAsia="zh-CN"/>
              </w:rPr>
              <w:t>林枫酒店</w:t>
            </w:r>
            <w:r>
              <w:rPr>
                <w:rFonts w:hint="eastAsia" w:ascii="微软雅黑" w:hAnsi="微软雅黑" w:eastAsia="微软雅黑" w:cs="微软雅黑"/>
              </w:rPr>
              <w:t>、</w:t>
            </w:r>
            <w:r>
              <w:rPr>
                <w:rFonts w:hint="eastAsia" w:ascii="微软雅黑" w:hAnsi="微软雅黑" w:eastAsia="微软雅黑" w:cs="微软雅黑"/>
                <w:lang w:eastAsia="zh-CN"/>
              </w:rPr>
              <w:t>君顿酒店、嘉瑞酒店、格林东方谢家湾店、君顿酒店、</w:t>
            </w:r>
            <w:r>
              <w:rPr>
                <w:rFonts w:hint="eastAsia" w:ascii="微软雅黑" w:hAnsi="微软雅黑" w:eastAsia="微软雅黑" w:cs="微软雅黑"/>
              </w:rPr>
              <w:t>桔子酒店或同级</w:t>
            </w:r>
          </w:p>
          <w:p w14:paraId="6270A2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rPr>
              <w:t>武隆参考酒店</w:t>
            </w:r>
            <w:r>
              <w:rPr>
                <w:rFonts w:hint="eastAsia" w:ascii="微软雅黑" w:hAnsi="微软雅黑" w:eastAsia="微软雅黑" w:cs="微软雅黑"/>
              </w:rPr>
              <w:t>：</w:t>
            </w:r>
            <w:r>
              <w:rPr>
                <w:rFonts w:hint="eastAsia" w:ascii="微软雅黑" w:hAnsi="微软雅黑" w:eastAsia="微软雅黑" w:cs="微软雅黑"/>
                <w:lang w:eastAsia="zh-CN"/>
              </w:rPr>
              <w:t>云海酒店</w:t>
            </w:r>
            <w:r>
              <w:rPr>
                <w:rFonts w:hint="eastAsia" w:ascii="微软雅黑" w:hAnsi="微软雅黑" w:eastAsia="微软雅黑" w:cs="微软雅黑"/>
              </w:rPr>
              <w:t>、七色花园酒店、</w:t>
            </w:r>
            <w:r>
              <w:rPr>
                <w:rFonts w:hint="eastAsia" w:ascii="微软雅黑" w:hAnsi="微软雅黑" w:eastAsia="微软雅黑" w:cs="微软雅黑"/>
                <w:lang w:eastAsia="zh-CN"/>
              </w:rPr>
              <w:t>金科酒店</w:t>
            </w:r>
            <w:r>
              <w:rPr>
                <w:rFonts w:hint="eastAsia" w:ascii="微软雅黑" w:hAnsi="微软雅黑" w:eastAsia="微软雅黑" w:cs="微软雅黑"/>
              </w:rPr>
              <w:t>、宏福酒店、</w:t>
            </w:r>
            <w:r>
              <w:rPr>
                <w:rFonts w:hint="eastAsia" w:ascii="微软雅黑" w:hAnsi="微软雅黑" w:eastAsia="微软雅黑" w:cs="微软雅黑"/>
                <w:lang w:eastAsia="zh-CN"/>
              </w:rPr>
              <w:t>瑜珠花园酒店、</w:t>
            </w:r>
            <w:r>
              <w:rPr>
                <w:rFonts w:hint="eastAsia" w:ascii="微软雅黑" w:hAnsi="微软雅黑" w:eastAsia="微软雅黑" w:cs="微软雅黑"/>
              </w:rPr>
              <w:t>戴斯大卫营酒店、</w:t>
            </w:r>
            <w:r>
              <w:rPr>
                <w:rFonts w:hint="eastAsia" w:ascii="微软雅黑" w:hAnsi="微软雅黑" w:eastAsia="微软雅黑" w:cs="微软雅黑"/>
                <w:lang w:eastAsia="zh-CN"/>
              </w:rPr>
              <w:t>欧悦</w:t>
            </w:r>
            <w:r>
              <w:rPr>
                <w:rFonts w:hint="eastAsia" w:ascii="微软雅黑" w:hAnsi="微软雅黑" w:eastAsia="微软雅黑" w:cs="微软雅黑"/>
              </w:rPr>
              <w:t>酒店、明宇尚雅酒店或者同级</w:t>
            </w:r>
          </w:p>
          <w:p w14:paraId="35F7FB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rPr>
            </w:pPr>
            <w:r>
              <w:rPr>
                <w:rFonts w:hint="eastAsia" w:ascii="微软雅黑" w:hAnsi="微软雅黑" w:eastAsia="微软雅黑" w:cs="微软雅黑"/>
                <w:b/>
                <w:bCs/>
              </w:rPr>
              <w:t>酒店备注：</w:t>
            </w:r>
          </w:p>
          <w:p w14:paraId="406856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1、如遇旺季酒店客房紧张或政府临时征用、大型会议等特殊情况，将安排不低于原档次的其他酒店，敬请谅解；</w:t>
            </w:r>
          </w:p>
          <w:p w14:paraId="472180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2、酒店标准均有备注，请在预订时自查标准，如对住宿要求较高的游客，请在报名时自行补交差价升级酒店；</w:t>
            </w:r>
          </w:p>
          <w:p w14:paraId="1DB172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rPr>
              <w:t>3、遇特殊原因（如天气，交通，地面，酒店接待能力，可能变更住宿地点，标准不变）酒店设施服务为酒店配套项目，以酒店提供为准，不属于旅游行程质量范围，敬请谅解。</w:t>
            </w:r>
          </w:p>
        </w:tc>
      </w:tr>
      <w:tr w14:paraId="476A4D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3" w:hRule="atLeast"/>
        </w:trPr>
        <w:tc>
          <w:tcPr>
            <w:tcW w:w="11683" w:type="dxa"/>
            <w:gridSpan w:val="6"/>
            <w:tcBorders>
              <w:top w:val="single" w:color="auto" w:sz="4" w:space="0"/>
              <w:left w:val="single" w:color="auto" w:sz="4" w:space="0"/>
              <w:bottom w:val="single" w:color="auto" w:sz="4" w:space="0"/>
              <w:right w:val="single" w:color="auto" w:sz="4" w:space="0"/>
            </w:tcBorders>
          </w:tcPr>
          <w:p w14:paraId="3E8B625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☆☆特别注意事项☆☆</w:t>
            </w:r>
          </w:p>
          <w:p w14:paraId="40AA1D3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4EAA03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CC7773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8EB88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83" w:type="dxa"/>
            <w:gridSpan w:val="6"/>
            <w:tcBorders>
              <w:top w:val="single" w:color="auto" w:sz="4" w:space="0"/>
              <w:left w:val="single" w:color="auto" w:sz="4" w:space="0"/>
              <w:bottom w:val="single" w:color="auto" w:sz="4" w:space="0"/>
              <w:right w:val="single" w:color="auto" w:sz="4" w:space="0"/>
            </w:tcBorders>
          </w:tcPr>
          <w:p w14:paraId="500C05DA">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A5C49B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C2A1FC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D5FD37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1A2C93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4、酒店定时供应热水和空调。客人入住酒店时，请检查房间里所有设备及用具，如有损坏缺少应及时联系导游员或酒店工作人员，切勿大意，减少不必要的纠纷。根据</w:t>
            </w:r>
            <w:r>
              <w:rPr>
                <w:rFonts w:hint="eastAsia" w:ascii="微软雅黑" w:hAnsi="微软雅黑" w:eastAsia="微软雅黑" w:cs="微软雅黑"/>
                <w:lang w:val="en-US" w:eastAsia="zh-CN"/>
              </w:rPr>
              <w:t>重庆</w:t>
            </w:r>
            <w:r>
              <w:rPr>
                <w:rFonts w:hint="eastAsia" w:ascii="微软雅黑" w:hAnsi="微软雅黑" w:eastAsia="微软雅黑" w:cs="微软雅黑"/>
              </w:rPr>
              <w:t>政府规定，酒店不提供一次性洗漱用品，请客人自备。敬请谅解。</w:t>
            </w:r>
          </w:p>
          <w:p w14:paraId="0AA613F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59B06C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6347FC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7FDDC8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w:t>
            </w:r>
            <w:r>
              <w:rPr>
                <w:rFonts w:hint="eastAsia" w:ascii="微软雅黑" w:hAnsi="微软雅黑" w:eastAsia="微软雅黑" w:cs="微软雅黑"/>
                <w:lang w:val="en-US" w:eastAsia="zh-CN"/>
              </w:rPr>
              <w:t>重庆</w:t>
            </w:r>
            <w:r>
              <w:rPr>
                <w:rFonts w:hint="eastAsia" w:ascii="微软雅黑" w:hAnsi="微软雅黑" w:eastAsia="微软雅黑" w:cs="微软雅黑"/>
              </w:rPr>
              <w:t>地处山</w:t>
            </w:r>
            <w:r>
              <w:rPr>
                <w:rFonts w:hint="eastAsia" w:ascii="微软雅黑" w:hAnsi="微软雅黑" w:eastAsia="微软雅黑" w:cs="微软雅黑"/>
                <w:lang w:val="en-US" w:eastAsia="zh-CN"/>
              </w:rPr>
              <w:t>城</w:t>
            </w:r>
            <w:r>
              <w:rPr>
                <w:rFonts w:hint="eastAsia" w:ascii="微软雅黑" w:hAnsi="微软雅黑" w:eastAsia="微软雅黑" w:cs="微软雅黑"/>
              </w:rPr>
              <w:t>，当地昼夜温差大，请带足保暖防寒衣物，长时间在户外活动,请戴上太阳帽、太阳镜，涂抹防霜,以保护皮肤。天气变化多端，请携带雨具。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FD0A4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为了您的出行安全，请游客在出行前做一次必要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37026B8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rPr>
              <w:t>10、【重要提示】：游客投诉以在</w:t>
            </w:r>
            <w:r>
              <w:rPr>
                <w:rFonts w:hint="eastAsia" w:ascii="微软雅黑" w:hAnsi="微软雅黑" w:eastAsia="微软雅黑" w:cs="微软雅黑"/>
                <w:lang w:val="en-US" w:eastAsia="zh-CN"/>
              </w:rPr>
              <w:t>重庆</w:t>
            </w:r>
            <w:r>
              <w:rPr>
                <w:rFonts w:hint="eastAsia" w:ascii="微软雅黑" w:hAnsi="微软雅黑" w:eastAsia="微软雅黑" w:cs="微软雅黑"/>
              </w:rPr>
              <w:t>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5291AB46">
      <w:pPr>
        <w:spacing w:beforeLines="50" w:afterLines="50"/>
        <w:jc w:val="center"/>
        <w:outlineLvl w:val="0"/>
        <w:rPr>
          <w:rFonts w:ascii="微软雅黑" w:hAnsi="微软雅黑" w:eastAsia="微软雅黑"/>
          <w:b/>
          <w:color w:val="7030A0"/>
          <w:sz w:val="33"/>
        </w:rPr>
      </w:pPr>
      <w:r>
        <w:rPr>
          <w:rFonts w:hint="eastAsia" w:ascii="微软雅黑" w:hAnsi="微软雅黑" w:eastAsia="微软雅黑"/>
          <w:b/>
          <w:color w:val="7030A0"/>
          <w:sz w:val="33"/>
        </w:rPr>
        <w:t>旅游合同补充协议</w:t>
      </w:r>
    </w:p>
    <w:tbl>
      <w:tblPr>
        <w:tblStyle w:val="11"/>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8"/>
        <w:gridCol w:w="1589"/>
        <w:gridCol w:w="2976"/>
        <w:gridCol w:w="1827"/>
      </w:tblGrid>
      <w:tr w14:paraId="18AE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990" w:type="dxa"/>
            <w:gridSpan w:val="4"/>
            <w:tcBorders>
              <w:top w:val="single" w:color="auto" w:sz="4" w:space="0"/>
              <w:bottom w:val="single" w:color="auto" w:sz="4" w:space="0"/>
            </w:tcBorders>
            <w:noWrap/>
            <w:vAlign w:val="center"/>
          </w:tcPr>
          <w:p w14:paraId="4FF20DDE">
            <w:pPr>
              <w:spacing w:line="240" w:lineRule="auto"/>
              <w:rPr>
                <w:rFonts w:ascii="宋体" w:hAnsi="宋体" w:cs="宋体"/>
                <w:b/>
                <w:sz w:val="18"/>
                <w:szCs w:val="18"/>
              </w:rPr>
            </w:pPr>
            <w:r>
              <w:rPr>
                <w:rFonts w:hint="eastAsia" w:ascii="宋体" w:hAnsi="宋体" w:cs="宋体"/>
                <w:b/>
                <w:sz w:val="18"/>
                <w:szCs w:val="18"/>
              </w:rPr>
              <w:t xml:space="preserve">甲方（旅行社）：                           </w:t>
            </w:r>
          </w:p>
          <w:p w14:paraId="656D6470">
            <w:pPr>
              <w:spacing w:line="240" w:lineRule="auto"/>
              <w:rPr>
                <w:rFonts w:ascii="宋体" w:hAnsi="宋体" w:cs="宋体"/>
                <w:b/>
                <w:sz w:val="18"/>
                <w:szCs w:val="18"/>
                <w:lang w:val="sq-AL"/>
              </w:rPr>
            </w:pPr>
            <w:r>
              <w:rPr>
                <w:rFonts w:hint="eastAsia" w:ascii="宋体" w:hAnsi="宋体" w:cs="宋体"/>
                <w:b/>
                <w:sz w:val="18"/>
                <w:szCs w:val="18"/>
              </w:rPr>
              <w:t xml:space="preserve">乙方（旅游者）：                           </w:t>
            </w:r>
          </w:p>
          <w:p w14:paraId="407009D3">
            <w:pPr>
              <w:spacing w:line="240" w:lineRule="auto"/>
              <w:ind w:firstLine="360" w:firstLineChars="200"/>
              <w:jc w:val="left"/>
              <w:rPr>
                <w:rFonts w:ascii="宋体" w:hAnsi="宋体"/>
                <w:b/>
                <w:bCs/>
                <w:kern w:val="0"/>
                <w:sz w:val="18"/>
                <w:szCs w:val="18"/>
              </w:rPr>
            </w:pPr>
            <w:r>
              <w:rPr>
                <w:rFonts w:hint="eastAsia" w:ascii="宋体" w:hAnsi="宋体" w:cs="宋体"/>
                <w:sz w:val="18"/>
                <w:szCs w:val="18"/>
              </w:rPr>
              <w:t>为丰富旅游者的娱乐活动及满足不同旅游者的需求，旅行社在不影响正常旅行行程安排的的前提下，旅行社可提供自费景点（娱乐）项目供旅游者自行选择参加与否。根据《旅游法》第</w:t>
            </w:r>
            <w:r>
              <w:rPr>
                <w:rFonts w:hint="eastAsia" w:ascii="宋体" w:hAnsi="宋体" w:cs="宋体"/>
                <w:sz w:val="18"/>
                <w:szCs w:val="18"/>
                <w:lang w:val="sq-AL"/>
              </w:rPr>
              <w:t>35</w:t>
            </w:r>
            <w:r>
              <w:rPr>
                <w:rFonts w:hint="eastAsia" w:ascii="宋体" w:hAnsi="宋体" w:cs="宋体"/>
                <w:sz w:val="18"/>
                <w:szCs w:val="18"/>
              </w:rPr>
              <w:t>条规定“旅行社安排另行付费旅游项目需是应旅游者要求或经双方协商一致且不影响其他旅游者的行程安排”，因此在本次旅行过程，旅行社应旅游者（乙方）要求并经双方协商一致，由甲方协助安排乙方参加自费旅游项目，双方确认签署本协议，具体约定如下：</w:t>
            </w:r>
          </w:p>
        </w:tc>
      </w:tr>
      <w:tr w14:paraId="5CE8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990" w:type="dxa"/>
            <w:gridSpan w:val="4"/>
            <w:tcBorders>
              <w:top w:val="single" w:color="auto" w:sz="4" w:space="0"/>
            </w:tcBorders>
            <w:noWrap/>
            <w:vAlign w:val="center"/>
          </w:tcPr>
          <w:p w14:paraId="59BD1B50">
            <w:pPr>
              <w:spacing w:line="240" w:lineRule="auto"/>
              <w:jc w:val="left"/>
              <w:rPr>
                <w:rFonts w:ascii="宋体" w:hAnsi="宋体" w:cs="宋体"/>
                <w:b/>
                <w:sz w:val="18"/>
                <w:szCs w:val="18"/>
              </w:rPr>
            </w:pPr>
            <w:r>
              <w:rPr>
                <w:rFonts w:hint="eastAsia" w:ascii="宋体" w:hAnsi="宋体" w:cs="宋体"/>
                <w:b/>
                <w:sz w:val="18"/>
                <w:szCs w:val="18"/>
              </w:rPr>
              <w:t>一、自费场所简述及安排</w:t>
            </w:r>
          </w:p>
        </w:tc>
      </w:tr>
      <w:tr w14:paraId="2A13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98" w:type="dxa"/>
            <w:tcBorders>
              <w:top w:val="single" w:color="auto" w:sz="4" w:space="0"/>
            </w:tcBorders>
            <w:noWrap/>
            <w:vAlign w:val="center"/>
          </w:tcPr>
          <w:p w14:paraId="6E68D940">
            <w:pPr>
              <w:spacing w:line="240" w:lineRule="auto"/>
              <w:jc w:val="center"/>
              <w:rPr>
                <w:rFonts w:ascii="宋体" w:hAnsi="宋体" w:cs="宋体"/>
                <w:b/>
                <w:sz w:val="18"/>
                <w:szCs w:val="18"/>
              </w:rPr>
            </w:pPr>
            <w:r>
              <w:rPr>
                <w:rFonts w:hint="eastAsia" w:ascii="宋体" w:hAnsi="宋体" w:cs="宋体"/>
                <w:b/>
                <w:sz w:val="18"/>
                <w:szCs w:val="18"/>
              </w:rPr>
              <w:t>自费项目</w:t>
            </w:r>
          </w:p>
        </w:tc>
        <w:tc>
          <w:tcPr>
            <w:tcW w:w="1589" w:type="dxa"/>
            <w:tcBorders>
              <w:top w:val="single" w:color="auto" w:sz="4" w:space="0"/>
            </w:tcBorders>
            <w:noWrap/>
            <w:vAlign w:val="center"/>
          </w:tcPr>
          <w:p w14:paraId="05D834AC">
            <w:pPr>
              <w:spacing w:line="240" w:lineRule="auto"/>
              <w:jc w:val="center"/>
              <w:rPr>
                <w:rFonts w:ascii="宋体" w:hAnsi="宋体" w:cs="宋体"/>
                <w:b/>
                <w:sz w:val="18"/>
                <w:szCs w:val="18"/>
              </w:rPr>
            </w:pPr>
            <w:r>
              <w:rPr>
                <w:rFonts w:hint="eastAsia" w:ascii="宋体" w:hAnsi="宋体" w:cs="宋体"/>
                <w:b/>
                <w:sz w:val="18"/>
                <w:szCs w:val="18"/>
              </w:rPr>
              <w:t>特色与内容</w:t>
            </w:r>
          </w:p>
        </w:tc>
        <w:tc>
          <w:tcPr>
            <w:tcW w:w="2976" w:type="dxa"/>
            <w:tcBorders>
              <w:top w:val="single" w:color="auto" w:sz="4" w:space="0"/>
            </w:tcBorders>
            <w:noWrap/>
            <w:vAlign w:val="center"/>
          </w:tcPr>
          <w:p w14:paraId="01FD6A9D">
            <w:pPr>
              <w:spacing w:line="240" w:lineRule="auto"/>
              <w:jc w:val="center"/>
              <w:rPr>
                <w:rFonts w:ascii="宋体" w:hAnsi="宋体" w:cs="宋体"/>
                <w:b/>
                <w:sz w:val="18"/>
                <w:szCs w:val="18"/>
              </w:rPr>
            </w:pPr>
            <w:r>
              <w:rPr>
                <w:rFonts w:hint="eastAsia" w:ascii="宋体" w:hAnsi="宋体" w:cs="宋体"/>
                <w:b/>
                <w:sz w:val="18"/>
                <w:szCs w:val="18"/>
              </w:rPr>
              <w:t>最低人数与游玩时间</w:t>
            </w:r>
          </w:p>
        </w:tc>
        <w:tc>
          <w:tcPr>
            <w:tcW w:w="1827" w:type="dxa"/>
            <w:tcBorders>
              <w:top w:val="single" w:color="auto" w:sz="4" w:space="0"/>
            </w:tcBorders>
            <w:noWrap/>
            <w:vAlign w:val="center"/>
          </w:tcPr>
          <w:p w14:paraId="7251948D">
            <w:pPr>
              <w:spacing w:line="240" w:lineRule="auto"/>
              <w:jc w:val="center"/>
              <w:rPr>
                <w:rFonts w:ascii="宋体" w:hAnsi="宋体" w:cs="宋体"/>
                <w:b/>
                <w:sz w:val="18"/>
                <w:szCs w:val="18"/>
              </w:rPr>
            </w:pPr>
            <w:r>
              <w:rPr>
                <w:rFonts w:hint="eastAsia" w:ascii="宋体" w:hAnsi="宋体" w:cs="宋体"/>
                <w:b/>
                <w:sz w:val="18"/>
                <w:szCs w:val="18"/>
              </w:rPr>
              <w:t>价格</w:t>
            </w:r>
          </w:p>
        </w:tc>
      </w:tr>
      <w:tr w14:paraId="0D19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98" w:type="dxa"/>
            <w:tcBorders>
              <w:top w:val="single" w:color="auto" w:sz="4" w:space="0"/>
            </w:tcBorders>
            <w:noWrap/>
            <w:vAlign w:val="center"/>
          </w:tcPr>
          <w:p w14:paraId="26723AA9">
            <w:pPr>
              <w:spacing w:line="240" w:lineRule="auto"/>
              <w:jc w:val="center"/>
              <w:rPr>
                <w:rFonts w:ascii="宋体" w:hAnsi="宋体" w:cs="宋体"/>
                <w:sz w:val="18"/>
                <w:szCs w:val="18"/>
              </w:rPr>
            </w:pPr>
            <w:r>
              <w:rPr>
                <w:rFonts w:hint="eastAsia" w:ascii="宋体" w:hAnsi="宋体" w:cs="宋体"/>
                <w:sz w:val="18"/>
                <w:szCs w:val="18"/>
              </w:rPr>
              <w:t>天坑电瓶车（自愿乘坐）</w:t>
            </w:r>
          </w:p>
        </w:tc>
        <w:tc>
          <w:tcPr>
            <w:tcW w:w="1589" w:type="dxa"/>
            <w:tcBorders>
              <w:top w:val="single" w:color="auto" w:sz="4" w:space="0"/>
            </w:tcBorders>
            <w:noWrap/>
            <w:vAlign w:val="center"/>
          </w:tcPr>
          <w:p w14:paraId="421F21BC">
            <w:pPr>
              <w:spacing w:line="240" w:lineRule="auto"/>
              <w:jc w:val="center"/>
              <w:rPr>
                <w:rFonts w:ascii="宋体" w:hAnsi="宋体" w:cs="宋体"/>
                <w:sz w:val="18"/>
                <w:szCs w:val="18"/>
              </w:rPr>
            </w:pPr>
            <w:r>
              <w:rPr>
                <w:rFonts w:hint="eastAsia" w:ascii="宋体" w:hAnsi="宋体" w:cs="宋体"/>
                <w:sz w:val="18"/>
                <w:szCs w:val="18"/>
              </w:rPr>
              <w:t>交通车</w:t>
            </w:r>
          </w:p>
        </w:tc>
        <w:tc>
          <w:tcPr>
            <w:tcW w:w="2976" w:type="dxa"/>
            <w:tcBorders>
              <w:top w:val="single" w:color="auto" w:sz="4" w:space="0"/>
            </w:tcBorders>
            <w:noWrap/>
            <w:vAlign w:val="center"/>
          </w:tcPr>
          <w:p w14:paraId="2F50A347">
            <w:pPr>
              <w:autoSpaceDE w:val="0"/>
              <w:spacing w:line="240" w:lineRule="auto"/>
              <w:jc w:val="center"/>
              <w:rPr>
                <w:rFonts w:ascii="宋体" w:hAnsi="宋体" w:cs="宋体"/>
                <w:sz w:val="18"/>
                <w:szCs w:val="18"/>
              </w:rPr>
            </w:pPr>
            <w:r>
              <w:rPr>
                <w:rFonts w:hint="eastAsia" w:ascii="宋体" w:hAnsi="宋体" w:cs="宋体"/>
                <w:sz w:val="18"/>
                <w:szCs w:val="18"/>
              </w:rPr>
              <w:t>1人</w:t>
            </w:r>
          </w:p>
        </w:tc>
        <w:tc>
          <w:tcPr>
            <w:tcW w:w="1827" w:type="dxa"/>
            <w:tcBorders>
              <w:top w:val="single" w:color="auto" w:sz="4" w:space="0"/>
            </w:tcBorders>
            <w:noWrap/>
            <w:vAlign w:val="center"/>
          </w:tcPr>
          <w:p w14:paraId="0265FD07">
            <w:pPr>
              <w:spacing w:line="240" w:lineRule="auto"/>
              <w:jc w:val="center"/>
              <w:rPr>
                <w:rFonts w:ascii="宋体" w:hAnsi="宋体" w:cs="宋体"/>
                <w:sz w:val="18"/>
                <w:szCs w:val="18"/>
              </w:rPr>
            </w:pPr>
            <w:r>
              <w:rPr>
                <w:rFonts w:hint="eastAsia" w:ascii="宋体" w:hAnsi="宋体" w:cs="宋体"/>
                <w:sz w:val="18"/>
                <w:szCs w:val="18"/>
              </w:rPr>
              <w:t>15元/人</w:t>
            </w:r>
          </w:p>
        </w:tc>
      </w:tr>
      <w:tr w14:paraId="6CAC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98" w:type="dxa"/>
            <w:tcBorders>
              <w:top w:val="single" w:color="auto" w:sz="4" w:space="0"/>
            </w:tcBorders>
            <w:noWrap/>
            <w:vAlign w:val="center"/>
          </w:tcPr>
          <w:p w14:paraId="531BC5B3">
            <w:pPr>
              <w:spacing w:line="240" w:lineRule="auto"/>
              <w:jc w:val="center"/>
              <w:rPr>
                <w:rFonts w:ascii="宋体" w:hAnsi="宋体" w:cs="宋体"/>
                <w:sz w:val="18"/>
                <w:szCs w:val="18"/>
              </w:rPr>
            </w:pPr>
            <w:r>
              <w:rPr>
                <w:rFonts w:hint="eastAsia" w:ascii="宋体" w:hAnsi="宋体" w:cs="宋体"/>
                <w:sz w:val="18"/>
                <w:szCs w:val="18"/>
              </w:rPr>
              <w:t>仙女山小火车（自愿乘坐）</w:t>
            </w:r>
          </w:p>
        </w:tc>
        <w:tc>
          <w:tcPr>
            <w:tcW w:w="1589" w:type="dxa"/>
            <w:tcBorders>
              <w:top w:val="single" w:color="auto" w:sz="4" w:space="0"/>
            </w:tcBorders>
            <w:noWrap/>
            <w:vAlign w:val="center"/>
          </w:tcPr>
          <w:p w14:paraId="6D1CE5C7">
            <w:pPr>
              <w:spacing w:line="240" w:lineRule="auto"/>
              <w:jc w:val="center"/>
              <w:rPr>
                <w:rFonts w:ascii="宋体" w:hAnsi="宋体" w:cs="宋体"/>
                <w:sz w:val="18"/>
                <w:szCs w:val="18"/>
              </w:rPr>
            </w:pPr>
            <w:r>
              <w:rPr>
                <w:rFonts w:hint="eastAsia" w:ascii="宋体" w:hAnsi="宋体" w:cs="宋体"/>
                <w:sz w:val="18"/>
                <w:szCs w:val="18"/>
              </w:rPr>
              <w:t>交通车</w:t>
            </w:r>
          </w:p>
        </w:tc>
        <w:tc>
          <w:tcPr>
            <w:tcW w:w="2976" w:type="dxa"/>
            <w:tcBorders>
              <w:top w:val="single" w:color="auto" w:sz="4" w:space="0"/>
            </w:tcBorders>
            <w:noWrap/>
            <w:vAlign w:val="center"/>
          </w:tcPr>
          <w:p w14:paraId="3F25A556">
            <w:pPr>
              <w:autoSpaceDE w:val="0"/>
              <w:spacing w:line="240" w:lineRule="auto"/>
              <w:jc w:val="center"/>
              <w:rPr>
                <w:rFonts w:ascii="宋体" w:hAnsi="宋体" w:cs="宋体"/>
                <w:sz w:val="18"/>
                <w:szCs w:val="18"/>
              </w:rPr>
            </w:pPr>
            <w:r>
              <w:rPr>
                <w:rFonts w:hint="eastAsia" w:ascii="宋体" w:hAnsi="宋体" w:cs="宋体"/>
                <w:sz w:val="18"/>
                <w:szCs w:val="18"/>
              </w:rPr>
              <w:t>1人</w:t>
            </w:r>
          </w:p>
        </w:tc>
        <w:tc>
          <w:tcPr>
            <w:tcW w:w="1827" w:type="dxa"/>
            <w:tcBorders>
              <w:top w:val="single" w:color="auto" w:sz="4" w:space="0"/>
            </w:tcBorders>
            <w:noWrap/>
            <w:vAlign w:val="center"/>
          </w:tcPr>
          <w:p w14:paraId="6A8C9A85">
            <w:pPr>
              <w:spacing w:line="240" w:lineRule="auto"/>
              <w:jc w:val="center"/>
              <w:rPr>
                <w:rFonts w:ascii="宋体" w:hAnsi="宋体" w:cs="宋体"/>
                <w:sz w:val="18"/>
                <w:szCs w:val="18"/>
              </w:rPr>
            </w:pPr>
            <w:r>
              <w:rPr>
                <w:rFonts w:hint="eastAsia" w:ascii="宋体" w:hAnsi="宋体" w:cs="宋体"/>
                <w:sz w:val="18"/>
                <w:szCs w:val="18"/>
              </w:rPr>
              <w:t>40元人</w:t>
            </w:r>
          </w:p>
        </w:tc>
      </w:tr>
      <w:tr w14:paraId="2EA6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98" w:type="dxa"/>
            <w:tcBorders>
              <w:top w:val="single" w:color="auto" w:sz="4" w:space="0"/>
            </w:tcBorders>
            <w:noWrap/>
            <w:vAlign w:val="center"/>
          </w:tcPr>
          <w:p w14:paraId="0FD089B9">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天生三桥换车【必须产生】</w:t>
            </w:r>
          </w:p>
        </w:tc>
        <w:tc>
          <w:tcPr>
            <w:tcW w:w="1589" w:type="dxa"/>
            <w:tcBorders>
              <w:top w:val="single" w:color="auto" w:sz="4" w:space="0"/>
            </w:tcBorders>
            <w:noWrap/>
            <w:vAlign w:val="center"/>
          </w:tcPr>
          <w:p w14:paraId="06501035">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交通</w:t>
            </w:r>
          </w:p>
        </w:tc>
        <w:tc>
          <w:tcPr>
            <w:tcW w:w="2976" w:type="dxa"/>
            <w:tcBorders>
              <w:top w:val="single" w:color="auto" w:sz="4" w:space="0"/>
            </w:tcBorders>
            <w:noWrap/>
            <w:vAlign w:val="center"/>
          </w:tcPr>
          <w:p w14:paraId="76B33FDD">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1人</w:t>
            </w:r>
          </w:p>
        </w:tc>
        <w:tc>
          <w:tcPr>
            <w:tcW w:w="1827" w:type="dxa"/>
            <w:tcBorders>
              <w:top w:val="single" w:color="auto" w:sz="4" w:space="0"/>
            </w:tcBorders>
            <w:noWrap/>
            <w:vAlign w:val="center"/>
          </w:tcPr>
          <w:p w14:paraId="51003EEF">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lang w:val="en-US" w:eastAsia="zh-CN"/>
              </w:rPr>
              <w:t xml:space="preserve"> </w:t>
            </w:r>
            <w:r>
              <w:rPr>
                <w:rFonts w:hint="eastAsia" w:ascii="宋体" w:hAnsi="宋体" w:cs="宋体"/>
                <w:color w:val="FF0000"/>
                <w:sz w:val="18"/>
                <w:szCs w:val="18"/>
              </w:rPr>
              <w:t>40元/人</w:t>
            </w:r>
          </w:p>
        </w:tc>
      </w:tr>
      <w:tr w14:paraId="19F9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98" w:type="dxa"/>
            <w:tcBorders>
              <w:top w:val="single" w:color="auto" w:sz="4" w:space="0"/>
            </w:tcBorders>
            <w:noWrap/>
            <w:vAlign w:val="center"/>
          </w:tcPr>
          <w:p w14:paraId="41593DCC">
            <w:pPr>
              <w:spacing w:line="240" w:lineRule="auto"/>
              <w:jc w:val="center"/>
              <w:rPr>
                <w:rFonts w:ascii="宋体" w:hAnsi="宋体" w:cs="宋体"/>
                <w:color w:val="FF0000"/>
                <w:sz w:val="18"/>
                <w:szCs w:val="18"/>
              </w:rPr>
            </w:pPr>
            <w:r>
              <w:rPr>
                <w:rFonts w:hint="eastAsia" w:ascii="宋体" w:hAnsi="宋体" w:cs="宋体"/>
                <w:color w:val="FF0000"/>
                <w:sz w:val="18"/>
                <w:szCs w:val="18"/>
              </w:rPr>
              <w:t>龙水峡地缝换车【必须产生】</w:t>
            </w:r>
          </w:p>
        </w:tc>
        <w:tc>
          <w:tcPr>
            <w:tcW w:w="1589" w:type="dxa"/>
            <w:tcBorders>
              <w:top w:val="single" w:color="auto" w:sz="4" w:space="0"/>
            </w:tcBorders>
            <w:noWrap/>
            <w:vAlign w:val="center"/>
          </w:tcPr>
          <w:p w14:paraId="0D4C900A">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交通</w:t>
            </w:r>
          </w:p>
        </w:tc>
        <w:tc>
          <w:tcPr>
            <w:tcW w:w="2976" w:type="dxa"/>
            <w:tcBorders>
              <w:top w:val="single" w:color="auto" w:sz="4" w:space="0"/>
            </w:tcBorders>
            <w:noWrap/>
            <w:vAlign w:val="center"/>
          </w:tcPr>
          <w:p w14:paraId="21214535">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1人</w:t>
            </w:r>
          </w:p>
        </w:tc>
        <w:tc>
          <w:tcPr>
            <w:tcW w:w="1827" w:type="dxa"/>
            <w:tcBorders>
              <w:top w:val="single" w:color="auto" w:sz="4" w:space="0"/>
            </w:tcBorders>
            <w:noWrap/>
            <w:vAlign w:val="center"/>
          </w:tcPr>
          <w:p w14:paraId="2E6653A5">
            <w:pPr>
              <w:spacing w:line="240" w:lineRule="auto"/>
              <w:ind w:firstLine="540" w:firstLineChars="300"/>
              <w:rPr>
                <w:rFonts w:ascii="宋体" w:hAnsi="宋体" w:eastAsia="微软雅黑" w:cs="宋体"/>
                <w:color w:val="FF0000"/>
                <w:sz w:val="18"/>
                <w:szCs w:val="18"/>
              </w:rPr>
            </w:pPr>
            <w:r>
              <w:rPr>
                <w:rFonts w:hint="eastAsia" w:ascii="宋体" w:hAnsi="宋体" w:cs="宋体"/>
                <w:color w:val="FF0000"/>
                <w:sz w:val="18"/>
                <w:szCs w:val="18"/>
              </w:rPr>
              <w:t>35元/人</w:t>
            </w:r>
          </w:p>
        </w:tc>
      </w:tr>
      <w:tr w14:paraId="6B58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98" w:type="dxa"/>
            <w:tcBorders>
              <w:top w:val="single" w:color="auto" w:sz="4" w:space="0"/>
            </w:tcBorders>
            <w:noWrap/>
            <w:vAlign w:val="center"/>
          </w:tcPr>
          <w:p w14:paraId="3CE570E7">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渣滓洞换车【</w:t>
            </w:r>
            <w:r>
              <w:rPr>
                <w:rFonts w:hint="eastAsia" w:ascii="宋体" w:hAnsi="宋体" w:cs="宋体"/>
                <w:color w:val="FF0000"/>
                <w:sz w:val="18"/>
                <w:szCs w:val="18"/>
                <w:lang w:val="en-US" w:eastAsia="zh-CN"/>
              </w:rPr>
              <w:t>自愿</w:t>
            </w:r>
            <w:r>
              <w:rPr>
                <w:rFonts w:hint="eastAsia" w:ascii="宋体" w:hAnsi="宋体" w:cs="宋体"/>
                <w:color w:val="FF0000"/>
                <w:sz w:val="18"/>
                <w:szCs w:val="18"/>
              </w:rPr>
              <w:t>乘坐】</w:t>
            </w:r>
          </w:p>
        </w:tc>
        <w:tc>
          <w:tcPr>
            <w:tcW w:w="1589" w:type="dxa"/>
            <w:tcBorders>
              <w:top w:val="single" w:color="auto" w:sz="4" w:space="0"/>
            </w:tcBorders>
            <w:noWrap/>
            <w:vAlign w:val="center"/>
          </w:tcPr>
          <w:p w14:paraId="3B03AD88">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交通</w:t>
            </w:r>
          </w:p>
        </w:tc>
        <w:tc>
          <w:tcPr>
            <w:tcW w:w="2976" w:type="dxa"/>
            <w:tcBorders>
              <w:top w:val="single" w:color="auto" w:sz="4" w:space="0"/>
            </w:tcBorders>
            <w:noWrap/>
            <w:vAlign w:val="center"/>
          </w:tcPr>
          <w:p w14:paraId="773ABB1A">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1人</w:t>
            </w:r>
          </w:p>
        </w:tc>
        <w:tc>
          <w:tcPr>
            <w:tcW w:w="1827" w:type="dxa"/>
            <w:tcBorders>
              <w:top w:val="single" w:color="auto" w:sz="4" w:space="0"/>
            </w:tcBorders>
            <w:noWrap/>
            <w:vAlign w:val="center"/>
          </w:tcPr>
          <w:p w14:paraId="54DE7DF2">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lang w:val="en-US" w:eastAsia="zh-CN"/>
              </w:rPr>
              <w:t xml:space="preserve"> </w:t>
            </w:r>
            <w:r>
              <w:rPr>
                <w:rFonts w:hint="eastAsia" w:ascii="宋体" w:hAnsi="宋体" w:cs="宋体"/>
                <w:color w:val="FF0000"/>
                <w:sz w:val="18"/>
                <w:szCs w:val="18"/>
              </w:rPr>
              <w:t>20元/人</w:t>
            </w:r>
          </w:p>
        </w:tc>
      </w:tr>
      <w:tr w14:paraId="10A8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98" w:type="dxa"/>
            <w:tcBorders>
              <w:top w:val="single" w:color="auto" w:sz="4" w:space="0"/>
            </w:tcBorders>
            <w:noWrap/>
            <w:vAlign w:val="center"/>
          </w:tcPr>
          <w:p w14:paraId="7007055B">
            <w:pPr>
              <w:spacing w:line="240" w:lineRule="auto"/>
              <w:jc w:val="center"/>
              <w:rPr>
                <w:rFonts w:hint="eastAsia" w:ascii="宋体" w:hAnsi="宋体" w:cs="宋体"/>
                <w:color w:val="FF0000"/>
                <w:sz w:val="18"/>
                <w:szCs w:val="18"/>
              </w:rPr>
            </w:pPr>
            <w:r>
              <w:rPr>
                <w:rFonts w:hint="eastAsia" w:ascii="宋体" w:hAnsi="宋体" w:cs="宋体"/>
                <w:color w:val="FF0000"/>
                <w:sz w:val="18"/>
                <w:szCs w:val="18"/>
                <w:lang w:val="en-US" w:eastAsia="zh-CN"/>
              </w:rPr>
              <w:t>龙水峡地缝换车35元/人</w:t>
            </w:r>
            <w:r>
              <w:rPr>
                <w:rFonts w:hint="eastAsia" w:ascii="宋体" w:hAnsi="宋体" w:cs="宋体"/>
                <w:color w:val="FF0000"/>
                <w:sz w:val="18"/>
                <w:szCs w:val="18"/>
              </w:rPr>
              <w:t>【</w:t>
            </w:r>
            <w:r>
              <w:rPr>
                <w:rFonts w:hint="eastAsia" w:ascii="宋体" w:hAnsi="宋体" w:cs="宋体"/>
                <w:color w:val="FF0000"/>
                <w:sz w:val="18"/>
                <w:szCs w:val="18"/>
                <w:lang w:val="en-US" w:eastAsia="zh-CN"/>
              </w:rPr>
              <w:t>必须</w:t>
            </w:r>
            <w:r>
              <w:rPr>
                <w:rFonts w:hint="eastAsia" w:ascii="宋体" w:hAnsi="宋体" w:cs="宋体"/>
                <w:color w:val="FF0000"/>
                <w:sz w:val="18"/>
                <w:szCs w:val="18"/>
              </w:rPr>
              <w:t>乘坐】</w:t>
            </w:r>
          </w:p>
        </w:tc>
        <w:tc>
          <w:tcPr>
            <w:tcW w:w="1589" w:type="dxa"/>
            <w:tcBorders>
              <w:top w:val="single" w:color="auto" w:sz="4" w:space="0"/>
            </w:tcBorders>
            <w:noWrap/>
            <w:vAlign w:val="center"/>
          </w:tcPr>
          <w:p w14:paraId="4851C98A">
            <w:pPr>
              <w:spacing w:line="240" w:lineRule="auto"/>
              <w:jc w:val="center"/>
              <w:rPr>
                <w:rFonts w:hint="eastAsia" w:ascii="宋体" w:hAnsi="宋体" w:eastAsia="宋体" w:cs="宋体"/>
                <w:color w:val="FF0000"/>
                <w:sz w:val="18"/>
                <w:szCs w:val="18"/>
                <w:lang w:val="en-US" w:eastAsia="zh-CN"/>
              </w:rPr>
            </w:pPr>
            <w:r>
              <w:rPr>
                <w:rFonts w:hint="eastAsia" w:ascii="宋体" w:hAnsi="宋体" w:cs="宋体"/>
                <w:color w:val="FF0000"/>
                <w:sz w:val="18"/>
                <w:szCs w:val="18"/>
                <w:lang w:val="en-US" w:eastAsia="zh-CN"/>
              </w:rPr>
              <w:t>交通</w:t>
            </w:r>
          </w:p>
        </w:tc>
        <w:tc>
          <w:tcPr>
            <w:tcW w:w="2976" w:type="dxa"/>
            <w:tcBorders>
              <w:top w:val="single" w:color="auto" w:sz="4" w:space="0"/>
            </w:tcBorders>
            <w:noWrap/>
            <w:vAlign w:val="center"/>
          </w:tcPr>
          <w:p w14:paraId="6B3EB222">
            <w:pPr>
              <w:spacing w:line="240" w:lineRule="auto"/>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1人</w:t>
            </w:r>
          </w:p>
        </w:tc>
        <w:tc>
          <w:tcPr>
            <w:tcW w:w="1827" w:type="dxa"/>
            <w:tcBorders>
              <w:top w:val="single" w:color="auto" w:sz="4" w:space="0"/>
            </w:tcBorders>
            <w:noWrap/>
            <w:vAlign w:val="center"/>
          </w:tcPr>
          <w:p w14:paraId="0AB1D671">
            <w:pPr>
              <w:spacing w:line="240" w:lineRule="auto"/>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 xml:space="preserve"> 35元/人</w:t>
            </w:r>
          </w:p>
        </w:tc>
      </w:tr>
      <w:tr w14:paraId="143C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2" w:hRule="atLeast"/>
          <w:jc w:val="center"/>
        </w:trPr>
        <w:tc>
          <w:tcPr>
            <w:tcW w:w="9990" w:type="dxa"/>
            <w:gridSpan w:val="4"/>
            <w:tcBorders>
              <w:top w:val="single" w:color="auto" w:sz="4" w:space="0"/>
              <w:bottom w:val="single" w:color="auto" w:sz="4" w:space="0"/>
            </w:tcBorders>
            <w:noWrap/>
            <w:vAlign w:val="center"/>
          </w:tcPr>
          <w:p w14:paraId="3BB76A98">
            <w:pPr>
              <w:spacing w:line="240" w:lineRule="auto"/>
              <w:jc w:val="left"/>
              <w:rPr>
                <w:rFonts w:ascii="宋体" w:hAnsi="宋体" w:cs="宋体"/>
                <w:b/>
                <w:sz w:val="18"/>
                <w:szCs w:val="18"/>
              </w:rPr>
            </w:pPr>
            <w:r>
              <w:rPr>
                <w:rFonts w:hint="eastAsia" w:ascii="宋体" w:hAnsi="宋体" w:cs="宋体"/>
                <w:b/>
                <w:sz w:val="18"/>
                <w:szCs w:val="18"/>
              </w:rPr>
              <w:t>二、相关约定</w:t>
            </w:r>
          </w:p>
          <w:p w14:paraId="0E0F33D3">
            <w:pPr>
              <w:spacing w:line="240" w:lineRule="auto"/>
              <w:ind w:firstLine="360" w:firstLineChars="200"/>
              <w:rPr>
                <w:rFonts w:ascii="宋体" w:hAnsi="宋体" w:cs="宋体"/>
                <w:sz w:val="18"/>
                <w:szCs w:val="18"/>
              </w:rPr>
            </w:pPr>
            <w:r>
              <w:rPr>
                <w:rFonts w:hint="eastAsia" w:ascii="宋体" w:hAnsi="宋体" w:cs="宋体"/>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14:paraId="35A77A04">
            <w:pPr>
              <w:spacing w:line="240" w:lineRule="auto"/>
              <w:ind w:firstLine="360" w:firstLineChars="200"/>
              <w:rPr>
                <w:rFonts w:ascii="宋体" w:hAnsi="宋体" w:cs="宋体"/>
                <w:sz w:val="18"/>
                <w:szCs w:val="18"/>
              </w:rPr>
            </w:pPr>
            <w:r>
              <w:rPr>
                <w:rFonts w:hint="eastAsia" w:ascii="宋体" w:hAnsi="宋体" w:cs="宋体"/>
                <w:sz w:val="18"/>
                <w:szCs w:val="18"/>
              </w:rPr>
              <w:t>2、本协议约定的上述自费旅游项目若未达到约定最低参加人数的，双方同意以上自费旅游项目协议条款不生效且对双方均无约束力。</w:t>
            </w:r>
          </w:p>
          <w:p w14:paraId="643EDDC2">
            <w:pPr>
              <w:spacing w:line="240" w:lineRule="auto"/>
              <w:ind w:firstLine="360" w:firstLineChars="200"/>
              <w:rPr>
                <w:rFonts w:ascii="宋体" w:hAnsi="宋体" w:cs="宋体"/>
                <w:sz w:val="18"/>
                <w:szCs w:val="18"/>
              </w:rPr>
            </w:pPr>
            <w:r>
              <w:rPr>
                <w:rFonts w:hint="eastAsia" w:ascii="宋体" w:hAnsi="宋体" w:cs="宋体"/>
                <w:sz w:val="18"/>
                <w:szCs w:val="18"/>
              </w:rPr>
              <w:t>3、上述自费旅游项目遇不可抗力或旅行社、履行辅助人已尽合理注意义务仍不能避免的事件的，双方有权解除，旅行社在扣除已向履行辅助人支付且不可退还的实际费用后（如团队优惠政策或国家优惠政策），将余款退还旅游者。</w:t>
            </w:r>
          </w:p>
          <w:p w14:paraId="6D0182AE">
            <w:pPr>
              <w:spacing w:line="240" w:lineRule="auto"/>
              <w:ind w:firstLine="360" w:firstLineChars="200"/>
              <w:rPr>
                <w:rFonts w:ascii="宋体" w:hAnsi="宋体" w:cs="宋体"/>
                <w:sz w:val="18"/>
                <w:szCs w:val="18"/>
              </w:rPr>
            </w:pPr>
            <w:r>
              <w:rPr>
                <w:rFonts w:hint="eastAsia" w:ascii="宋体" w:hAnsi="宋体" w:cs="宋体"/>
                <w:sz w:val="18"/>
                <w:szCs w:val="18"/>
              </w:rPr>
              <w:t>4、签署本协议前，旅行社已将自费项目的安全风险注意事项告知旅游者，（如跳伞、跳水、潜水、攀岩、漂流等高风险活动）旅游者应根据身体条件谨慎选择，旅游者在本协议签字确认视为其已明确知悉相应安全风险注意事项，并自愿承受相应后果。</w:t>
            </w:r>
          </w:p>
          <w:p w14:paraId="63C136E5">
            <w:pPr>
              <w:spacing w:line="240" w:lineRule="auto"/>
              <w:ind w:firstLine="360" w:firstLineChars="200"/>
              <w:rPr>
                <w:rFonts w:ascii="宋体" w:hAnsi="宋体" w:cs="宋体"/>
                <w:sz w:val="18"/>
                <w:szCs w:val="18"/>
              </w:rPr>
            </w:pPr>
            <w:r>
              <w:rPr>
                <w:rFonts w:hint="eastAsia" w:ascii="宋体" w:hAnsi="宋体" w:cs="宋体"/>
                <w:sz w:val="18"/>
                <w:szCs w:val="18"/>
              </w:rPr>
              <w:t>5、本协议约定下由甲方协助安排乙方参加的自费旅游项目费用缴纳方式为：</w:t>
            </w:r>
          </w:p>
          <w:p w14:paraId="2DD0AA96">
            <w:pPr>
              <w:spacing w:line="240" w:lineRule="auto"/>
              <w:ind w:firstLine="632" w:firstLineChars="350"/>
              <w:rPr>
                <w:rFonts w:ascii="宋体" w:hAnsi="宋体" w:cs="宋体"/>
                <w:b/>
                <w:sz w:val="18"/>
                <w:szCs w:val="18"/>
              </w:rPr>
            </w:pPr>
            <w:r>
              <w:rPr>
                <w:rFonts w:hint="eastAsia" w:ascii="宋体" w:hAnsi="宋体" w:cs="宋体"/>
                <w:b/>
                <w:sz w:val="18"/>
                <w:szCs w:val="18"/>
              </w:rPr>
              <w:t>1）如在旅行途中发生的其费用直接交带团导游；</w:t>
            </w:r>
          </w:p>
          <w:p w14:paraId="42EA09B1">
            <w:pPr>
              <w:spacing w:line="240" w:lineRule="auto"/>
              <w:ind w:firstLine="632" w:firstLineChars="350"/>
              <w:rPr>
                <w:rFonts w:ascii="宋体" w:hAnsi="宋体" w:cs="宋体"/>
                <w:b/>
                <w:sz w:val="18"/>
                <w:szCs w:val="18"/>
              </w:rPr>
            </w:pPr>
            <w:r>
              <w:rPr>
                <w:rFonts w:hint="eastAsia" w:ascii="宋体" w:hAnsi="宋体" w:cs="宋体"/>
                <w:b/>
                <w:sz w:val="18"/>
                <w:szCs w:val="18"/>
              </w:rPr>
              <w:t>2）如在旅行途中发生的其费用直接由旅行者本人付费。</w:t>
            </w:r>
          </w:p>
          <w:p w14:paraId="70DDB952">
            <w:pPr>
              <w:spacing w:line="240" w:lineRule="auto"/>
              <w:ind w:firstLine="360" w:firstLineChars="200"/>
              <w:rPr>
                <w:rFonts w:ascii="宋体" w:hAnsi="宋体" w:cs="宋体"/>
                <w:sz w:val="18"/>
                <w:szCs w:val="18"/>
              </w:rPr>
            </w:pPr>
            <w:r>
              <w:rPr>
                <w:rFonts w:hint="eastAsia" w:ascii="宋体" w:hAnsi="宋体" w:cs="宋体"/>
                <w:sz w:val="18"/>
                <w:szCs w:val="18"/>
              </w:rPr>
              <w:t>6、本协议约定下由甲方协助安排乙方参加的自费旅游项目，如甲方违反上述第二条第1、2点约定之一的，旅游者有权在团队行程结束30天内向组团社要求退回自费款项，组团社需无条件退回旅游者自费旅游项目费用。</w:t>
            </w:r>
          </w:p>
          <w:p w14:paraId="5D00B135">
            <w:pPr>
              <w:spacing w:line="240" w:lineRule="auto"/>
              <w:ind w:firstLine="360" w:firstLineChars="200"/>
              <w:rPr>
                <w:rFonts w:ascii="宋体" w:hAnsi="宋体" w:cs="宋体"/>
                <w:sz w:val="18"/>
                <w:szCs w:val="18"/>
              </w:rPr>
            </w:pPr>
            <w:r>
              <w:rPr>
                <w:rFonts w:hint="eastAsia" w:ascii="宋体" w:hAnsi="宋体" w:cs="宋体"/>
                <w:sz w:val="18"/>
                <w:szCs w:val="18"/>
              </w:rPr>
              <w:t>7、旅游者参加非旅行社安排且是在本协议约定以外的自费旅游项目导致人身安全或财产损失的，参照旅游法第七十条款。</w:t>
            </w:r>
          </w:p>
          <w:p w14:paraId="18F5BB75">
            <w:pPr>
              <w:spacing w:line="240" w:lineRule="auto"/>
              <w:rPr>
                <w:rFonts w:ascii="宋体" w:hAnsi="宋体" w:cs="宋体"/>
                <w:sz w:val="18"/>
                <w:szCs w:val="18"/>
              </w:rPr>
            </w:pPr>
            <w:r>
              <w:rPr>
                <w:rFonts w:hint="eastAsia" w:ascii="宋体" w:hAnsi="宋体" w:cs="宋体"/>
                <w:sz w:val="18"/>
                <w:szCs w:val="18"/>
              </w:rPr>
              <w:t>三、本协议如有争议，双方协商解决，协商不成的均可向旅游行业主管部门举报或向有管辖权的人民法院提起诉讼。</w:t>
            </w:r>
          </w:p>
          <w:p w14:paraId="4DD325F9">
            <w:pPr>
              <w:spacing w:line="240" w:lineRule="auto"/>
              <w:jc w:val="left"/>
              <w:rPr>
                <w:rFonts w:ascii="宋体" w:hAnsi="宋体" w:cs="宋体"/>
                <w:sz w:val="18"/>
                <w:szCs w:val="18"/>
              </w:rPr>
            </w:pPr>
            <w:r>
              <w:rPr>
                <w:rFonts w:hint="eastAsia" w:ascii="宋体" w:hAnsi="宋体" w:cs="宋体"/>
                <w:sz w:val="18"/>
                <w:szCs w:val="18"/>
              </w:rPr>
              <w:t>四、本协议一式二份，双方各执一份，受组团社及地接社委托该团导游为甲方授权签字代表，乙方为旅游者本人（18周岁以下未成年人需监护人签名）。旅游者不止一人的，合同实际签名者为签约代表，该代表应将合同各种信息（包括补充协议书、出团通知书、安全须知等）如实全面告知其他合同当事人，其他合同当事人与该代表对本合同及各种信息（包括补充协议书、出团通知书、安全须知等）具有同等知悉程度。</w:t>
            </w:r>
          </w:p>
          <w:p w14:paraId="38AEB48B">
            <w:pPr>
              <w:spacing w:line="240" w:lineRule="auto"/>
              <w:ind w:firstLine="420"/>
              <w:jc w:val="left"/>
              <w:rPr>
                <w:rFonts w:ascii="宋体" w:hAnsi="宋体" w:cs="宋体"/>
                <w:b/>
                <w:sz w:val="18"/>
                <w:szCs w:val="18"/>
              </w:rPr>
            </w:pPr>
            <w:r>
              <w:rPr>
                <w:rFonts w:hint="eastAsia" w:ascii="宋体" w:hAnsi="宋体" w:cs="宋体"/>
                <w:b/>
                <w:sz w:val="18"/>
                <w:szCs w:val="18"/>
              </w:rPr>
              <w:t>我已阅读以上行程、提示和补充协议书，并完全理解和同意，已收到《中国公民国内旅游文明行为公约》和《旅游维权手册》。</w:t>
            </w:r>
          </w:p>
          <w:p w14:paraId="5B935725">
            <w:pPr>
              <w:spacing w:line="240" w:lineRule="auto"/>
              <w:jc w:val="left"/>
              <w:rPr>
                <w:rFonts w:ascii="宋体" w:hAnsi="宋体" w:cs="宋体"/>
                <w:sz w:val="18"/>
                <w:szCs w:val="18"/>
                <w:u w:val="single"/>
              </w:rPr>
            </w:pPr>
            <w:r>
              <w:rPr>
                <w:rFonts w:hint="eastAsia" w:ascii="宋体" w:hAnsi="宋体" w:cs="宋体"/>
                <w:sz w:val="18"/>
                <w:szCs w:val="18"/>
              </w:rPr>
              <w:t>甲方（旅行社）：        乙方（旅游者）：</w:t>
            </w:r>
          </w:p>
          <w:p w14:paraId="47EB02CE">
            <w:pPr>
              <w:spacing w:line="240" w:lineRule="auto"/>
              <w:jc w:val="left"/>
              <w:rPr>
                <w:rFonts w:ascii="宋体" w:hAnsi="宋体" w:cs="宋体"/>
                <w:b/>
                <w:sz w:val="18"/>
                <w:szCs w:val="18"/>
              </w:rPr>
            </w:pPr>
            <w:r>
              <w:rPr>
                <w:rFonts w:hint="eastAsia" w:ascii="宋体" w:hAnsi="宋体" w:cs="宋体"/>
                <w:sz w:val="18"/>
                <w:szCs w:val="18"/>
              </w:rPr>
              <w:t>电话：        电话：</w:t>
            </w:r>
          </w:p>
          <w:p w14:paraId="23C56BC2">
            <w:pPr>
              <w:spacing w:line="240" w:lineRule="auto"/>
              <w:jc w:val="left"/>
              <w:rPr>
                <w:rFonts w:ascii="宋体" w:hAnsi="宋体"/>
                <w:b/>
                <w:bCs/>
                <w:kern w:val="0"/>
                <w:sz w:val="18"/>
                <w:szCs w:val="18"/>
              </w:rPr>
            </w:pPr>
            <w:r>
              <w:rPr>
                <w:rFonts w:hint="eastAsia" w:ascii="宋体" w:hAnsi="宋体" w:cs="宋体"/>
                <w:sz w:val="18"/>
                <w:szCs w:val="18"/>
              </w:rPr>
              <w:t>时间：        时间：</w:t>
            </w:r>
          </w:p>
        </w:tc>
      </w:tr>
    </w:tbl>
    <w:p w14:paraId="73183ABF">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1110B"/>
    <w:rsid w:val="007421C8"/>
    <w:rsid w:val="00795490"/>
    <w:rsid w:val="00804CFC"/>
    <w:rsid w:val="0083700A"/>
    <w:rsid w:val="00880E56"/>
    <w:rsid w:val="008850FA"/>
    <w:rsid w:val="008C09F7"/>
    <w:rsid w:val="008D7C43"/>
    <w:rsid w:val="008F176D"/>
    <w:rsid w:val="00920C28"/>
    <w:rsid w:val="00982D9D"/>
    <w:rsid w:val="009837CE"/>
    <w:rsid w:val="009C337D"/>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030D34"/>
    <w:rsid w:val="011C4CF6"/>
    <w:rsid w:val="01261E1A"/>
    <w:rsid w:val="012D0479"/>
    <w:rsid w:val="0157064E"/>
    <w:rsid w:val="016469E8"/>
    <w:rsid w:val="019761CA"/>
    <w:rsid w:val="020411DA"/>
    <w:rsid w:val="02492FB3"/>
    <w:rsid w:val="029C3B08"/>
    <w:rsid w:val="032D0FCD"/>
    <w:rsid w:val="03343D40"/>
    <w:rsid w:val="034E7440"/>
    <w:rsid w:val="0378130B"/>
    <w:rsid w:val="037B7F1C"/>
    <w:rsid w:val="03A87411"/>
    <w:rsid w:val="04272382"/>
    <w:rsid w:val="05077321"/>
    <w:rsid w:val="055664B3"/>
    <w:rsid w:val="058A6E18"/>
    <w:rsid w:val="05BB103F"/>
    <w:rsid w:val="05C8291B"/>
    <w:rsid w:val="05EB75A5"/>
    <w:rsid w:val="06BA3154"/>
    <w:rsid w:val="06C8688F"/>
    <w:rsid w:val="06D25850"/>
    <w:rsid w:val="0704296D"/>
    <w:rsid w:val="07072A72"/>
    <w:rsid w:val="070D6730"/>
    <w:rsid w:val="07121211"/>
    <w:rsid w:val="07134710"/>
    <w:rsid w:val="07255DC1"/>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14245F"/>
    <w:rsid w:val="0A735171"/>
    <w:rsid w:val="0A7E1D45"/>
    <w:rsid w:val="0A8473AE"/>
    <w:rsid w:val="0A8A2888"/>
    <w:rsid w:val="0A9760CA"/>
    <w:rsid w:val="0AB416DB"/>
    <w:rsid w:val="0B4A3C17"/>
    <w:rsid w:val="0B7C24E7"/>
    <w:rsid w:val="0B7F3A6A"/>
    <w:rsid w:val="0B835865"/>
    <w:rsid w:val="0B920297"/>
    <w:rsid w:val="0B9B10B5"/>
    <w:rsid w:val="0BF25217"/>
    <w:rsid w:val="0C096925"/>
    <w:rsid w:val="0C450D6C"/>
    <w:rsid w:val="0C6F3428"/>
    <w:rsid w:val="0C7E69E5"/>
    <w:rsid w:val="0CE63B48"/>
    <w:rsid w:val="0CF60FD3"/>
    <w:rsid w:val="0D5F66AE"/>
    <w:rsid w:val="0D6C10EE"/>
    <w:rsid w:val="0DC9323A"/>
    <w:rsid w:val="0E067511"/>
    <w:rsid w:val="0E4949A1"/>
    <w:rsid w:val="0E850379"/>
    <w:rsid w:val="0EDC68F7"/>
    <w:rsid w:val="0EF273CF"/>
    <w:rsid w:val="10F16AE3"/>
    <w:rsid w:val="110513E7"/>
    <w:rsid w:val="11427B0D"/>
    <w:rsid w:val="11B34360"/>
    <w:rsid w:val="12361B78"/>
    <w:rsid w:val="12EF0A4F"/>
    <w:rsid w:val="13371388"/>
    <w:rsid w:val="133B7B9C"/>
    <w:rsid w:val="136A4169"/>
    <w:rsid w:val="13EC55EC"/>
    <w:rsid w:val="13F66591"/>
    <w:rsid w:val="14321F2A"/>
    <w:rsid w:val="143C7B63"/>
    <w:rsid w:val="150D1EBE"/>
    <w:rsid w:val="159C58D1"/>
    <w:rsid w:val="15B0279D"/>
    <w:rsid w:val="15B36F61"/>
    <w:rsid w:val="15D42860"/>
    <w:rsid w:val="15FF7837"/>
    <w:rsid w:val="16960D6D"/>
    <w:rsid w:val="16D056D6"/>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B4A6010"/>
    <w:rsid w:val="1BA04EFC"/>
    <w:rsid w:val="1C4C0D55"/>
    <w:rsid w:val="1C4E38DD"/>
    <w:rsid w:val="1C4E77C9"/>
    <w:rsid w:val="1CA647A6"/>
    <w:rsid w:val="1CA66D5E"/>
    <w:rsid w:val="1CED73D2"/>
    <w:rsid w:val="1D1F4CA2"/>
    <w:rsid w:val="1D5C01C9"/>
    <w:rsid w:val="1E3501C4"/>
    <w:rsid w:val="1E841FFE"/>
    <w:rsid w:val="1F246147"/>
    <w:rsid w:val="1F4D65B6"/>
    <w:rsid w:val="1FBC28E0"/>
    <w:rsid w:val="1FE3552A"/>
    <w:rsid w:val="200F7270"/>
    <w:rsid w:val="205B6E3B"/>
    <w:rsid w:val="20872B6B"/>
    <w:rsid w:val="20C45EF0"/>
    <w:rsid w:val="21B76F72"/>
    <w:rsid w:val="22233137"/>
    <w:rsid w:val="22464DDD"/>
    <w:rsid w:val="22586EEA"/>
    <w:rsid w:val="22840166"/>
    <w:rsid w:val="22E744D4"/>
    <w:rsid w:val="23D5466C"/>
    <w:rsid w:val="23E40D09"/>
    <w:rsid w:val="244B5D34"/>
    <w:rsid w:val="24705D36"/>
    <w:rsid w:val="24870CD0"/>
    <w:rsid w:val="24D80578"/>
    <w:rsid w:val="256F5416"/>
    <w:rsid w:val="257A557F"/>
    <w:rsid w:val="25986633"/>
    <w:rsid w:val="259A25D7"/>
    <w:rsid w:val="26A435E6"/>
    <w:rsid w:val="27026F8E"/>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133171"/>
    <w:rsid w:val="2BAB2B4A"/>
    <w:rsid w:val="2BE02D66"/>
    <w:rsid w:val="2BF57730"/>
    <w:rsid w:val="2C1874AC"/>
    <w:rsid w:val="2C493A17"/>
    <w:rsid w:val="2C665AE5"/>
    <w:rsid w:val="2CB96718"/>
    <w:rsid w:val="2CF439DB"/>
    <w:rsid w:val="2D234CF5"/>
    <w:rsid w:val="2D3B0A92"/>
    <w:rsid w:val="2DC860A6"/>
    <w:rsid w:val="2DF67CC1"/>
    <w:rsid w:val="2EC75720"/>
    <w:rsid w:val="2EDE4234"/>
    <w:rsid w:val="2EE948D6"/>
    <w:rsid w:val="2EED1450"/>
    <w:rsid w:val="2EF53261"/>
    <w:rsid w:val="2F046E1E"/>
    <w:rsid w:val="2F357C66"/>
    <w:rsid w:val="2F4F4441"/>
    <w:rsid w:val="2FB909F9"/>
    <w:rsid w:val="2FE11772"/>
    <w:rsid w:val="30BA4CEE"/>
    <w:rsid w:val="30DF0305"/>
    <w:rsid w:val="30EE2ED1"/>
    <w:rsid w:val="3143321D"/>
    <w:rsid w:val="315D7DA4"/>
    <w:rsid w:val="31646571"/>
    <w:rsid w:val="319A0FE4"/>
    <w:rsid w:val="31F10857"/>
    <w:rsid w:val="321C2BAF"/>
    <w:rsid w:val="32530217"/>
    <w:rsid w:val="32A3555E"/>
    <w:rsid w:val="32C2475E"/>
    <w:rsid w:val="331B16C0"/>
    <w:rsid w:val="33261046"/>
    <w:rsid w:val="33963A1E"/>
    <w:rsid w:val="33A15FD9"/>
    <w:rsid w:val="33DD2C4D"/>
    <w:rsid w:val="33FC4F3D"/>
    <w:rsid w:val="342E081E"/>
    <w:rsid w:val="34B72093"/>
    <w:rsid w:val="358C22F5"/>
    <w:rsid w:val="36276C4F"/>
    <w:rsid w:val="36775E73"/>
    <w:rsid w:val="370F5DD1"/>
    <w:rsid w:val="371B773A"/>
    <w:rsid w:val="37305A51"/>
    <w:rsid w:val="37AB086D"/>
    <w:rsid w:val="37FA789F"/>
    <w:rsid w:val="37FF748C"/>
    <w:rsid w:val="38180079"/>
    <w:rsid w:val="381F242D"/>
    <w:rsid w:val="3901371D"/>
    <w:rsid w:val="39B44CE2"/>
    <w:rsid w:val="39ED3ED1"/>
    <w:rsid w:val="3A297CD2"/>
    <w:rsid w:val="3A9665B5"/>
    <w:rsid w:val="3AB309C7"/>
    <w:rsid w:val="3B4B164C"/>
    <w:rsid w:val="3BF41B1F"/>
    <w:rsid w:val="3C0C0AA1"/>
    <w:rsid w:val="3C164A8D"/>
    <w:rsid w:val="3C4D011D"/>
    <w:rsid w:val="3C5710E9"/>
    <w:rsid w:val="3CB7466E"/>
    <w:rsid w:val="3D023F8C"/>
    <w:rsid w:val="3E2245A8"/>
    <w:rsid w:val="3E6413E1"/>
    <w:rsid w:val="3F1E55F3"/>
    <w:rsid w:val="3F440007"/>
    <w:rsid w:val="3F711169"/>
    <w:rsid w:val="3F895B21"/>
    <w:rsid w:val="3FC93043"/>
    <w:rsid w:val="406B3968"/>
    <w:rsid w:val="40B04456"/>
    <w:rsid w:val="40FB5581"/>
    <w:rsid w:val="4119604E"/>
    <w:rsid w:val="42090DDA"/>
    <w:rsid w:val="4226335B"/>
    <w:rsid w:val="42601C60"/>
    <w:rsid w:val="428E46BB"/>
    <w:rsid w:val="429152B6"/>
    <w:rsid w:val="429945EC"/>
    <w:rsid w:val="43170206"/>
    <w:rsid w:val="43607270"/>
    <w:rsid w:val="43B6787E"/>
    <w:rsid w:val="43C51CEE"/>
    <w:rsid w:val="43D93497"/>
    <w:rsid w:val="441145F8"/>
    <w:rsid w:val="442C6A73"/>
    <w:rsid w:val="442D18F9"/>
    <w:rsid w:val="449414B5"/>
    <w:rsid w:val="44C256D2"/>
    <w:rsid w:val="44D5743D"/>
    <w:rsid w:val="45295867"/>
    <w:rsid w:val="45445823"/>
    <w:rsid w:val="459840BF"/>
    <w:rsid w:val="45EB289C"/>
    <w:rsid w:val="460401AE"/>
    <w:rsid w:val="46317690"/>
    <w:rsid w:val="46335606"/>
    <w:rsid w:val="46446916"/>
    <w:rsid w:val="46454B73"/>
    <w:rsid w:val="46486737"/>
    <w:rsid w:val="46A00465"/>
    <w:rsid w:val="4762127A"/>
    <w:rsid w:val="47830661"/>
    <w:rsid w:val="47E8112C"/>
    <w:rsid w:val="47EA5D88"/>
    <w:rsid w:val="4836317F"/>
    <w:rsid w:val="487842FA"/>
    <w:rsid w:val="48B6105C"/>
    <w:rsid w:val="48E63442"/>
    <w:rsid w:val="4976505A"/>
    <w:rsid w:val="49ED548C"/>
    <w:rsid w:val="4A1C41B3"/>
    <w:rsid w:val="4A3F45BD"/>
    <w:rsid w:val="4A4A4481"/>
    <w:rsid w:val="4B711B74"/>
    <w:rsid w:val="4C212059"/>
    <w:rsid w:val="4C813A93"/>
    <w:rsid w:val="4C887A2D"/>
    <w:rsid w:val="4CB521FE"/>
    <w:rsid w:val="4CDB3060"/>
    <w:rsid w:val="4CF0081A"/>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316796"/>
    <w:rsid w:val="51560851"/>
    <w:rsid w:val="521603C2"/>
    <w:rsid w:val="523C2D3F"/>
    <w:rsid w:val="524C7FC1"/>
    <w:rsid w:val="52992947"/>
    <w:rsid w:val="52D7336D"/>
    <w:rsid w:val="52F03774"/>
    <w:rsid w:val="538B0C1D"/>
    <w:rsid w:val="53C84C9E"/>
    <w:rsid w:val="53FD32A8"/>
    <w:rsid w:val="54027369"/>
    <w:rsid w:val="540602EE"/>
    <w:rsid w:val="54576766"/>
    <w:rsid w:val="54C97A24"/>
    <w:rsid w:val="54EC6085"/>
    <w:rsid w:val="551A3EF8"/>
    <w:rsid w:val="5587107B"/>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3432C8"/>
    <w:rsid w:val="59923649"/>
    <w:rsid w:val="59AC2042"/>
    <w:rsid w:val="59DF74B6"/>
    <w:rsid w:val="5A364E1D"/>
    <w:rsid w:val="5A4B01B0"/>
    <w:rsid w:val="5A596CA5"/>
    <w:rsid w:val="5A71367A"/>
    <w:rsid w:val="5B0659C9"/>
    <w:rsid w:val="5B1B1D9F"/>
    <w:rsid w:val="5B1C5A66"/>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F2534E9"/>
    <w:rsid w:val="5F3B0C4C"/>
    <w:rsid w:val="5F5F6ADB"/>
    <w:rsid w:val="5F744E64"/>
    <w:rsid w:val="5FA76558"/>
    <w:rsid w:val="5FCB7F72"/>
    <w:rsid w:val="6018347B"/>
    <w:rsid w:val="60C73DE5"/>
    <w:rsid w:val="60EA73D6"/>
    <w:rsid w:val="6133198D"/>
    <w:rsid w:val="61672233"/>
    <w:rsid w:val="617E0AF8"/>
    <w:rsid w:val="619304B3"/>
    <w:rsid w:val="61B57C03"/>
    <w:rsid w:val="62C82EE3"/>
    <w:rsid w:val="63006B79"/>
    <w:rsid w:val="63600E30"/>
    <w:rsid w:val="637C1DF3"/>
    <w:rsid w:val="63D342E8"/>
    <w:rsid w:val="63EE6769"/>
    <w:rsid w:val="640D5BAD"/>
    <w:rsid w:val="64113417"/>
    <w:rsid w:val="642C1302"/>
    <w:rsid w:val="648C5748"/>
    <w:rsid w:val="65AE41C1"/>
    <w:rsid w:val="65B95839"/>
    <w:rsid w:val="65CB7234"/>
    <w:rsid w:val="65DC23AC"/>
    <w:rsid w:val="66373B7E"/>
    <w:rsid w:val="664D50DC"/>
    <w:rsid w:val="66935810"/>
    <w:rsid w:val="669D3B0F"/>
    <w:rsid w:val="66AC566C"/>
    <w:rsid w:val="66BC2D34"/>
    <w:rsid w:val="66C90E48"/>
    <w:rsid w:val="66EE3BC9"/>
    <w:rsid w:val="672E5BEB"/>
    <w:rsid w:val="677F50DB"/>
    <w:rsid w:val="678A07EE"/>
    <w:rsid w:val="67A4786A"/>
    <w:rsid w:val="67B67376"/>
    <w:rsid w:val="67BF6452"/>
    <w:rsid w:val="67FC30CE"/>
    <w:rsid w:val="688B5C95"/>
    <w:rsid w:val="68FA48D7"/>
    <w:rsid w:val="691335F2"/>
    <w:rsid w:val="693D2D72"/>
    <w:rsid w:val="694F4AE2"/>
    <w:rsid w:val="696401FF"/>
    <w:rsid w:val="699A749A"/>
    <w:rsid w:val="69AA7668"/>
    <w:rsid w:val="69C60062"/>
    <w:rsid w:val="69C8187C"/>
    <w:rsid w:val="69D70A4F"/>
    <w:rsid w:val="69EB0FCF"/>
    <w:rsid w:val="6A206802"/>
    <w:rsid w:val="6AF7140F"/>
    <w:rsid w:val="6B317667"/>
    <w:rsid w:val="6B7F494F"/>
    <w:rsid w:val="6B8D6287"/>
    <w:rsid w:val="6BC51A85"/>
    <w:rsid w:val="6BD1058C"/>
    <w:rsid w:val="6BD603FA"/>
    <w:rsid w:val="6BE57596"/>
    <w:rsid w:val="6C4F545A"/>
    <w:rsid w:val="6C664AF2"/>
    <w:rsid w:val="6CED3119"/>
    <w:rsid w:val="6D091E11"/>
    <w:rsid w:val="6D194D70"/>
    <w:rsid w:val="6D2F38CE"/>
    <w:rsid w:val="6DA4008B"/>
    <w:rsid w:val="6F162691"/>
    <w:rsid w:val="6F20013B"/>
    <w:rsid w:val="6FCC47C8"/>
    <w:rsid w:val="71D37635"/>
    <w:rsid w:val="721D55D9"/>
    <w:rsid w:val="722A21C5"/>
    <w:rsid w:val="72370D0B"/>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B2A1EE8"/>
    <w:rsid w:val="7B2C39A7"/>
    <w:rsid w:val="7BDE4262"/>
    <w:rsid w:val="7C97416D"/>
    <w:rsid w:val="7CCC5221"/>
    <w:rsid w:val="7D027BEA"/>
    <w:rsid w:val="7D2F4E8F"/>
    <w:rsid w:val="7D5B2135"/>
    <w:rsid w:val="7D7A3790"/>
    <w:rsid w:val="7D7E5EC1"/>
    <w:rsid w:val="7DA66CC3"/>
    <w:rsid w:val="7DB0236B"/>
    <w:rsid w:val="7DBB271B"/>
    <w:rsid w:val="7DDF7215"/>
    <w:rsid w:val="7DE14F1D"/>
    <w:rsid w:val="7E1274F2"/>
    <w:rsid w:val="7E2A7DC1"/>
    <w:rsid w:val="7EAE28A5"/>
    <w:rsid w:val="7EF5102E"/>
    <w:rsid w:val="7F031625"/>
    <w:rsid w:val="7F1B279E"/>
    <w:rsid w:val="7F517E67"/>
    <w:rsid w:val="7F5C6839"/>
    <w:rsid w:val="7F7717B4"/>
    <w:rsid w:val="7FE769F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2196</Words>
  <Characters>2250</Characters>
  <Lines>41</Lines>
  <Paragraphs>11</Paragraphs>
  <TotalTime>1</TotalTime>
  <ScaleCrop>false</ScaleCrop>
  <LinksUpToDate>false</LinksUpToDate>
  <CharactersWithSpaces>2366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2025-12-29T02:01:01Z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A843092D31A04E599844C9B9933BD558_13</vt:lpwstr>
  </property>
  <property fmtid="{D5CDD505-2E9C-101B-9397-08002B2CF9AE}" pid="5" name="KSOTemplateDocerSaveRecord">
    <vt:lpwstr>eyJoZGlkIjoiMmE0YmQyZThkMDNhOTk1MzM1Njg4M2U1ZjYyNjBjYjMiLCJ1c2VySWQiOiI2NTYxMjIzMDcifQ==</vt:lpwstr>
  </property>
</Properties>
</file>