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14:paraId="4F307139">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bookmarkStart w:id="0" w:name="_GoBack"/>
      <w:bookmarkEnd w:id="0"/>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59264"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21" name="图片 21"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未标题-1.jpg未标题-1"/>
                    <pic:cNvPicPr>
                      <a:picLocks noChangeAspect="1"/>
                    </pic:cNvPicPr>
                  </pic:nvPicPr>
                  <pic:blipFill>
                    <a:blip r:embed="rId10"/>
                    <a:srcRect t="13" b="13"/>
                    <a:stretch>
                      <a:fillRect/>
                    </a:stretch>
                  </pic:blipFill>
                  <pic:spPr>
                    <a:xfrm>
                      <a:off x="0" y="0"/>
                      <a:ext cx="7578090" cy="10716895"/>
                    </a:xfrm>
                    <a:prstGeom prst="rect">
                      <a:avLst/>
                    </a:prstGeom>
                    <a:noFill/>
                    <a:ln>
                      <a:noFill/>
                    </a:ln>
                  </pic:spPr>
                </pic:pic>
              </a:graphicData>
            </a:graphic>
          </wp:anchor>
        </w:drawing>
      </w:r>
    </w:p>
    <w:p w14:paraId="61C9E5F3">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60288"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22" name="图片 22"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未标题-1.jpg未标题-1"/>
                    <pic:cNvPicPr>
                      <a:picLocks noChangeAspect="1"/>
                    </pic:cNvPicPr>
                  </pic:nvPicPr>
                  <pic:blipFill>
                    <a:blip r:embed="rId11"/>
                    <a:srcRect t="13" b="13"/>
                    <a:stretch>
                      <a:fillRect/>
                    </a:stretch>
                  </pic:blipFill>
                  <pic:spPr>
                    <a:xfrm>
                      <a:off x="0" y="0"/>
                      <a:ext cx="7578090" cy="10716895"/>
                    </a:xfrm>
                    <a:prstGeom prst="rect">
                      <a:avLst/>
                    </a:prstGeom>
                    <a:noFill/>
                    <a:ln>
                      <a:noFill/>
                    </a:ln>
                  </pic:spPr>
                </pic:pic>
              </a:graphicData>
            </a:graphic>
          </wp:anchor>
        </w:drawing>
      </w:r>
    </w:p>
    <w:p w14:paraId="2CA27CA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61312"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23" name="图片 23"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臻享四省文档.jpg臻享四省文档"/>
                    <pic:cNvPicPr>
                      <a:picLocks noChangeAspect="1"/>
                    </pic:cNvPicPr>
                  </pic:nvPicPr>
                  <pic:blipFill>
                    <a:blip r:embed="rId12"/>
                    <a:srcRect t="13" b="13"/>
                    <a:stretch>
                      <a:fillRect/>
                    </a:stretch>
                  </pic:blipFill>
                  <pic:spPr>
                    <a:xfrm>
                      <a:off x="0" y="0"/>
                      <a:ext cx="7578090" cy="10716895"/>
                    </a:xfrm>
                    <a:prstGeom prst="rect">
                      <a:avLst/>
                    </a:prstGeom>
                    <a:noFill/>
                    <a:ln>
                      <a:noFill/>
                    </a:ln>
                  </pic:spPr>
                </pic:pic>
              </a:graphicData>
            </a:graphic>
          </wp:anchor>
        </w:drawing>
      </w:r>
    </w:p>
    <w:p w14:paraId="34CC8E16">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62336"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7" name="图片 7"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臻享四省文档.jpg臻享四省文档"/>
                    <pic:cNvPicPr>
                      <a:picLocks noChangeAspect="1"/>
                    </pic:cNvPicPr>
                  </pic:nvPicPr>
                  <pic:blipFill>
                    <a:blip r:embed="rId13"/>
                    <a:srcRect t="13" b="13"/>
                    <a:stretch>
                      <a:fillRect/>
                    </a:stretch>
                  </pic:blipFill>
                  <pic:spPr>
                    <a:xfrm>
                      <a:off x="0" y="0"/>
                      <a:ext cx="7578090" cy="10716895"/>
                    </a:xfrm>
                    <a:prstGeom prst="rect">
                      <a:avLst/>
                    </a:prstGeom>
                    <a:noFill/>
                    <a:ln>
                      <a:noFill/>
                    </a:ln>
                  </pic:spPr>
                </pic:pic>
              </a:graphicData>
            </a:graphic>
          </wp:anchor>
        </w:drawing>
      </w:r>
    </w:p>
    <w:p w14:paraId="3417E884">
      <w:pPr>
        <w:pStyle w:val="15"/>
        <w:rPr>
          <w:rFonts w:hint="eastAsia"/>
          <w:lang w:eastAsia="zh-CN"/>
        </w:rPr>
      </w:pPr>
    </w:p>
    <w:p w14:paraId="0730BEAF">
      <w:pPr>
        <w:tabs>
          <w:tab w:val="left" w:pos="8583"/>
        </w:tabs>
        <w:jc w:val="left"/>
        <w:rPr>
          <w:sz w:val="18"/>
          <w:szCs w:val="18"/>
        </w:rPr>
      </w:pPr>
    </w:p>
    <w:p w14:paraId="6DB6B176">
      <w:pPr>
        <w:pStyle w:val="15"/>
        <w:rPr>
          <w:sz w:val="18"/>
          <w:szCs w:val="18"/>
        </w:rPr>
      </w:pPr>
    </w:p>
    <w:p w14:paraId="61B5105F">
      <w:pPr>
        <w:pStyle w:val="15"/>
        <w:rPr>
          <w:sz w:val="18"/>
          <w:szCs w:val="18"/>
        </w:rPr>
      </w:pPr>
    </w:p>
    <w:p w14:paraId="693832B2">
      <w:pPr>
        <w:pStyle w:val="15"/>
        <w:rPr>
          <w:sz w:val="18"/>
          <w:szCs w:val="18"/>
        </w:rPr>
      </w:pPr>
    </w:p>
    <w:p w14:paraId="30022A7E">
      <w:pPr>
        <w:pStyle w:val="15"/>
        <w:rPr>
          <w:sz w:val="18"/>
          <w:szCs w:val="18"/>
        </w:rPr>
      </w:pPr>
    </w:p>
    <w:p w14:paraId="066266B2">
      <w:pPr>
        <w:pStyle w:val="15"/>
        <w:rPr>
          <w:sz w:val="18"/>
          <w:szCs w:val="18"/>
        </w:rPr>
      </w:pPr>
    </w:p>
    <w:p w14:paraId="57BD7FA7">
      <w:pPr>
        <w:pStyle w:val="15"/>
        <w:rPr>
          <w:sz w:val="18"/>
          <w:szCs w:val="18"/>
        </w:rPr>
      </w:pPr>
    </w:p>
    <w:p w14:paraId="3C37D64B">
      <w:pPr>
        <w:pStyle w:val="15"/>
        <w:rPr>
          <w:sz w:val="18"/>
          <w:szCs w:val="18"/>
        </w:rPr>
      </w:pPr>
    </w:p>
    <w:p w14:paraId="7E225022">
      <w:pPr>
        <w:pStyle w:val="15"/>
        <w:rPr>
          <w:sz w:val="18"/>
          <w:szCs w:val="18"/>
        </w:r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3360" behindDoc="1" locked="0" layoutInCell="1" allowOverlap="1">
            <wp:simplePos x="0" y="0"/>
            <wp:positionH relativeFrom="column">
              <wp:posOffset>-234315</wp:posOffset>
            </wp:positionH>
            <wp:positionV relativeFrom="paragraph">
              <wp:posOffset>-2189480</wp:posOffset>
            </wp:positionV>
            <wp:extent cx="7578090" cy="10716895"/>
            <wp:effectExtent l="0" t="0" r="3810" b="8255"/>
            <wp:wrapNone/>
            <wp:docPr id="8" name="图片 8"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臻享四省文档.jpg臻享四省文档"/>
                    <pic:cNvPicPr>
                      <a:picLocks noChangeAspect="1"/>
                    </pic:cNvPicPr>
                  </pic:nvPicPr>
                  <pic:blipFill>
                    <a:blip r:embed="rId14"/>
                    <a:srcRect t="13" b="13"/>
                    <a:stretch>
                      <a:fillRect/>
                    </a:stretch>
                  </pic:blipFill>
                  <pic:spPr>
                    <a:xfrm>
                      <a:off x="0" y="0"/>
                      <a:ext cx="7578090" cy="10716895"/>
                    </a:xfrm>
                    <a:prstGeom prst="rect">
                      <a:avLst/>
                    </a:prstGeom>
                    <a:noFill/>
                    <a:ln>
                      <a:noFill/>
                    </a:ln>
                  </pic:spPr>
                </pic:pic>
              </a:graphicData>
            </a:graphic>
          </wp:anchor>
        </w:drawing>
      </w:r>
    </w:p>
    <w:p w14:paraId="0097024C">
      <w:pPr>
        <w:pStyle w:val="15"/>
        <w:rPr>
          <w:sz w:val="18"/>
          <w:szCs w:val="18"/>
        </w:rPr>
      </w:pPr>
    </w:p>
    <w:p w14:paraId="7091417A">
      <w:pPr>
        <w:pStyle w:val="15"/>
        <w:rPr>
          <w:sz w:val="18"/>
          <w:szCs w:val="18"/>
        </w:rPr>
      </w:pPr>
    </w:p>
    <w:p w14:paraId="7C354EBE">
      <w:pPr>
        <w:pStyle w:val="15"/>
        <w:rPr>
          <w:sz w:val="18"/>
          <w:szCs w:val="18"/>
        </w:rPr>
      </w:pPr>
    </w:p>
    <w:p w14:paraId="5EC17133">
      <w:pPr>
        <w:pStyle w:val="15"/>
        <w:rPr>
          <w:sz w:val="18"/>
          <w:szCs w:val="18"/>
        </w:rPr>
      </w:pPr>
    </w:p>
    <w:p w14:paraId="257CAEC4">
      <w:pPr>
        <w:pStyle w:val="15"/>
        <w:rPr>
          <w:sz w:val="18"/>
          <w:szCs w:val="18"/>
        </w:rPr>
      </w:pPr>
    </w:p>
    <w:p w14:paraId="794B906E">
      <w:pPr>
        <w:pStyle w:val="15"/>
        <w:rPr>
          <w:sz w:val="18"/>
          <w:szCs w:val="18"/>
        </w:rPr>
      </w:pPr>
    </w:p>
    <w:p w14:paraId="1A16362B">
      <w:pPr>
        <w:pStyle w:val="15"/>
        <w:rPr>
          <w:sz w:val="18"/>
          <w:szCs w:val="18"/>
        </w:rPr>
      </w:pPr>
    </w:p>
    <w:p w14:paraId="26D4ACB1">
      <w:pPr>
        <w:pStyle w:val="15"/>
        <w:rPr>
          <w:sz w:val="18"/>
          <w:szCs w:val="18"/>
        </w:rPr>
      </w:pPr>
    </w:p>
    <w:p w14:paraId="639417B6">
      <w:pPr>
        <w:pStyle w:val="15"/>
        <w:rPr>
          <w:sz w:val="18"/>
          <w:szCs w:val="18"/>
        </w:rPr>
      </w:pPr>
    </w:p>
    <w:p w14:paraId="6135F72D">
      <w:pPr>
        <w:pStyle w:val="15"/>
        <w:rPr>
          <w:sz w:val="18"/>
          <w:szCs w:val="18"/>
        </w:rPr>
      </w:pPr>
    </w:p>
    <w:p w14:paraId="6F5E5E9E">
      <w:pPr>
        <w:pStyle w:val="15"/>
        <w:rPr>
          <w:sz w:val="18"/>
          <w:szCs w:val="18"/>
        </w:rPr>
      </w:pPr>
    </w:p>
    <w:p w14:paraId="3CC077B8">
      <w:pPr>
        <w:pStyle w:val="15"/>
        <w:rPr>
          <w:sz w:val="18"/>
          <w:szCs w:val="18"/>
        </w:rPr>
      </w:pPr>
    </w:p>
    <w:p w14:paraId="6399C304">
      <w:pPr>
        <w:pStyle w:val="15"/>
        <w:rPr>
          <w:sz w:val="18"/>
          <w:szCs w:val="18"/>
        </w:rPr>
      </w:pPr>
    </w:p>
    <w:p w14:paraId="71F45ECB">
      <w:pPr>
        <w:pStyle w:val="15"/>
        <w:rPr>
          <w:sz w:val="18"/>
          <w:szCs w:val="18"/>
        </w:rPr>
      </w:pPr>
    </w:p>
    <w:p w14:paraId="0356F7D3">
      <w:pPr>
        <w:pStyle w:val="15"/>
        <w:rPr>
          <w:sz w:val="18"/>
          <w:szCs w:val="18"/>
        </w:rPr>
      </w:pPr>
    </w:p>
    <w:p w14:paraId="439750D5">
      <w:pPr>
        <w:pStyle w:val="15"/>
        <w:rPr>
          <w:sz w:val="18"/>
          <w:szCs w:val="18"/>
        </w:rPr>
      </w:pPr>
    </w:p>
    <w:p w14:paraId="64DE52F2">
      <w:pPr>
        <w:pStyle w:val="15"/>
        <w:rPr>
          <w:sz w:val="18"/>
          <w:szCs w:val="18"/>
        </w:rPr>
      </w:pPr>
    </w:p>
    <w:p w14:paraId="08CC94CC">
      <w:pPr>
        <w:pStyle w:val="15"/>
        <w:rPr>
          <w:sz w:val="18"/>
          <w:szCs w:val="18"/>
        </w:rPr>
      </w:pPr>
    </w:p>
    <w:p w14:paraId="4E314F63">
      <w:pPr>
        <w:pStyle w:val="15"/>
        <w:rPr>
          <w:sz w:val="18"/>
          <w:szCs w:val="18"/>
        </w:rPr>
      </w:pPr>
    </w:p>
    <w:p w14:paraId="4C151D72">
      <w:pPr>
        <w:pStyle w:val="15"/>
        <w:rPr>
          <w:sz w:val="18"/>
          <w:szCs w:val="18"/>
        </w:rPr>
      </w:pPr>
    </w:p>
    <w:p w14:paraId="42370805">
      <w:pPr>
        <w:pStyle w:val="15"/>
        <w:rPr>
          <w:sz w:val="18"/>
          <w:szCs w:val="18"/>
        </w:rPr>
      </w:pPr>
    </w:p>
    <w:p w14:paraId="581BA4C4">
      <w:pPr>
        <w:pStyle w:val="15"/>
        <w:rPr>
          <w:sz w:val="18"/>
          <w:szCs w:val="18"/>
        </w:rPr>
      </w:pPr>
    </w:p>
    <w:p w14:paraId="61A63C43">
      <w:pPr>
        <w:pStyle w:val="15"/>
        <w:rPr>
          <w:sz w:val="18"/>
          <w:szCs w:val="18"/>
        </w:rPr>
      </w:pPr>
    </w:p>
    <w:p w14:paraId="47875B59">
      <w:pPr>
        <w:pStyle w:val="15"/>
        <w:rPr>
          <w:sz w:val="18"/>
          <w:szCs w:val="18"/>
        </w:rPr>
      </w:pPr>
    </w:p>
    <w:p w14:paraId="77D1CF5E">
      <w:pPr>
        <w:pStyle w:val="15"/>
        <w:rPr>
          <w:sz w:val="18"/>
          <w:szCs w:val="18"/>
        </w:rPr>
      </w:pPr>
    </w:p>
    <w:p w14:paraId="60B7D0DB">
      <w:pPr>
        <w:pStyle w:val="15"/>
        <w:rPr>
          <w:sz w:val="18"/>
          <w:szCs w:val="18"/>
        </w:rPr>
      </w:pPr>
    </w:p>
    <w:p w14:paraId="32E69C8C">
      <w:pPr>
        <w:pStyle w:val="15"/>
        <w:rPr>
          <w:sz w:val="18"/>
          <w:szCs w:val="18"/>
        </w:rPr>
      </w:pPr>
    </w:p>
    <w:p w14:paraId="4005BE93">
      <w:pPr>
        <w:pStyle w:val="15"/>
        <w:rPr>
          <w:sz w:val="18"/>
          <w:szCs w:val="18"/>
        </w:rPr>
      </w:pPr>
    </w:p>
    <w:p w14:paraId="5DC1FBD6">
      <w:pPr>
        <w:pStyle w:val="15"/>
        <w:rPr>
          <w:sz w:val="18"/>
          <w:szCs w:val="18"/>
        </w:rPr>
      </w:pPr>
    </w:p>
    <w:p w14:paraId="305E8439">
      <w:pPr>
        <w:pStyle w:val="15"/>
        <w:rPr>
          <w:sz w:val="18"/>
          <w:szCs w:val="18"/>
        </w:rPr>
      </w:pPr>
    </w:p>
    <w:p w14:paraId="6611380E">
      <w:pPr>
        <w:pStyle w:val="15"/>
        <w:rPr>
          <w:sz w:val="18"/>
          <w:szCs w:val="18"/>
        </w:rPr>
      </w:pPr>
    </w:p>
    <w:p w14:paraId="7C684C01">
      <w:pPr>
        <w:pStyle w:val="15"/>
        <w:rPr>
          <w:sz w:val="18"/>
          <w:szCs w:val="18"/>
        </w:rPr>
      </w:pPr>
    </w:p>
    <w:p w14:paraId="5B4B9063">
      <w:pPr>
        <w:pStyle w:val="15"/>
        <w:rPr>
          <w:sz w:val="18"/>
          <w:szCs w:val="18"/>
        </w:rPr>
      </w:pPr>
    </w:p>
    <w:p w14:paraId="39FD7C39">
      <w:pPr>
        <w:pStyle w:val="15"/>
        <w:rPr>
          <w:sz w:val="18"/>
          <w:szCs w:val="18"/>
        </w:rPr>
      </w:pPr>
    </w:p>
    <w:p w14:paraId="6FC7C645">
      <w:pPr>
        <w:pStyle w:val="15"/>
        <w:rPr>
          <w:sz w:val="18"/>
          <w:szCs w:val="18"/>
        </w:rPr>
      </w:pPr>
    </w:p>
    <w:p w14:paraId="6269B3AC">
      <w:pPr>
        <w:pStyle w:val="15"/>
        <w:rPr>
          <w:sz w:val="18"/>
          <w:szCs w:val="18"/>
        </w:rPr>
      </w:pPr>
    </w:p>
    <w:p w14:paraId="53240F53">
      <w:pPr>
        <w:pStyle w:val="15"/>
        <w:rPr>
          <w:sz w:val="18"/>
          <w:szCs w:val="18"/>
        </w:rPr>
      </w:pPr>
    </w:p>
    <w:p w14:paraId="4E0C8C4E">
      <w:pPr>
        <w:pStyle w:val="15"/>
        <w:rPr>
          <w:sz w:val="18"/>
          <w:szCs w:val="18"/>
        </w:rPr>
      </w:pPr>
    </w:p>
    <w:p w14:paraId="66CBE920">
      <w:pPr>
        <w:pStyle w:val="15"/>
        <w:rPr>
          <w:sz w:val="18"/>
          <w:szCs w:val="18"/>
        </w:rPr>
      </w:pPr>
    </w:p>
    <w:p w14:paraId="77DDFABC">
      <w:pPr>
        <w:pStyle w:val="15"/>
        <w:rPr>
          <w:sz w:val="18"/>
          <w:szCs w:val="18"/>
        </w:rPr>
      </w:pPr>
    </w:p>
    <w:p w14:paraId="3C1B5F9E">
      <w:pPr>
        <w:pStyle w:val="15"/>
        <w:rPr>
          <w:sz w:val="18"/>
          <w:szCs w:val="18"/>
        </w:rPr>
      </w:pPr>
    </w:p>
    <w:p w14:paraId="4B822D16">
      <w:pPr>
        <w:pStyle w:val="15"/>
        <w:rPr>
          <w:sz w:val="18"/>
          <w:szCs w:val="18"/>
        </w:rPr>
      </w:pPr>
    </w:p>
    <w:p w14:paraId="71CADAE5">
      <w:pPr>
        <w:pStyle w:val="15"/>
        <w:rPr>
          <w:sz w:val="18"/>
          <w:szCs w:val="18"/>
        </w:rPr>
      </w:pPr>
    </w:p>
    <w:p w14:paraId="16C1DBA5">
      <w:pPr>
        <w:pStyle w:val="15"/>
        <w:rPr>
          <w:sz w:val="18"/>
          <w:szCs w:val="18"/>
        </w:rPr>
      </w:pPr>
    </w:p>
    <w:p w14:paraId="5501D189">
      <w:pPr>
        <w:pStyle w:val="15"/>
        <w:rPr>
          <w:sz w:val="18"/>
          <w:szCs w:val="18"/>
        </w:rPr>
      </w:pPr>
    </w:p>
    <w:p w14:paraId="37330CBA">
      <w:pPr>
        <w:pStyle w:val="15"/>
        <w:rPr>
          <w:sz w:val="18"/>
          <w:szCs w:val="18"/>
        </w:r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4384" behindDoc="1" locked="0" layoutInCell="1" allowOverlap="1">
            <wp:simplePos x="0" y="0"/>
            <wp:positionH relativeFrom="column">
              <wp:posOffset>-234315</wp:posOffset>
            </wp:positionH>
            <wp:positionV relativeFrom="paragraph">
              <wp:posOffset>-1198880</wp:posOffset>
            </wp:positionV>
            <wp:extent cx="7578090" cy="10716895"/>
            <wp:effectExtent l="0" t="0" r="3810" b="8255"/>
            <wp:wrapNone/>
            <wp:docPr id="9" name="图片 9"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臻享四省文档.jpg臻享四省文档"/>
                    <pic:cNvPicPr>
                      <a:picLocks noChangeAspect="1"/>
                    </pic:cNvPicPr>
                  </pic:nvPicPr>
                  <pic:blipFill>
                    <a:blip r:embed="rId13"/>
                    <a:srcRect t="13" b="13"/>
                    <a:stretch>
                      <a:fillRect/>
                    </a:stretch>
                  </pic:blipFill>
                  <pic:spPr>
                    <a:xfrm>
                      <a:off x="0" y="0"/>
                      <a:ext cx="7578090" cy="10716895"/>
                    </a:xfrm>
                    <a:prstGeom prst="rect">
                      <a:avLst/>
                    </a:prstGeom>
                    <a:noFill/>
                    <a:ln>
                      <a:noFill/>
                    </a:ln>
                  </pic:spPr>
                </pic:pic>
              </a:graphicData>
            </a:graphic>
          </wp:anchor>
        </w:drawing>
      </w:r>
    </w:p>
    <w:p w14:paraId="3C05C9B6">
      <w:pPr>
        <w:pStyle w:val="15"/>
        <w:rPr>
          <w:sz w:val="18"/>
          <w:szCs w:val="18"/>
        </w:rPr>
      </w:pPr>
    </w:p>
    <w:p w14:paraId="5EB9857B">
      <w:pPr>
        <w:pStyle w:val="15"/>
        <w:rPr>
          <w:sz w:val="18"/>
          <w:szCs w:val="18"/>
        </w:rPr>
      </w:pPr>
    </w:p>
    <w:p w14:paraId="22C9E82B">
      <w:pPr>
        <w:pStyle w:val="15"/>
        <w:rPr>
          <w:sz w:val="18"/>
          <w:szCs w:val="18"/>
        </w:rPr>
      </w:pPr>
    </w:p>
    <w:p w14:paraId="1A3A3BB8">
      <w:pPr>
        <w:pStyle w:val="15"/>
        <w:rPr>
          <w:sz w:val="18"/>
          <w:szCs w:val="18"/>
        </w:rPr>
      </w:pPr>
    </w:p>
    <w:p w14:paraId="4305EDFE">
      <w:pPr>
        <w:pStyle w:val="15"/>
        <w:rPr>
          <w:sz w:val="18"/>
          <w:szCs w:val="18"/>
        </w:rPr>
      </w:pPr>
    </w:p>
    <w:p w14:paraId="4C60445B">
      <w:pPr>
        <w:pStyle w:val="15"/>
        <w:rPr>
          <w:sz w:val="18"/>
          <w:szCs w:val="18"/>
        </w:rPr>
      </w:pPr>
    </w:p>
    <w:p w14:paraId="1D0B0843">
      <w:pPr>
        <w:pStyle w:val="15"/>
        <w:rPr>
          <w:sz w:val="18"/>
          <w:szCs w:val="18"/>
        </w:rPr>
      </w:pPr>
    </w:p>
    <w:p w14:paraId="2644F37A">
      <w:pPr>
        <w:pStyle w:val="15"/>
        <w:rPr>
          <w:sz w:val="18"/>
          <w:szCs w:val="18"/>
        </w:rPr>
      </w:pPr>
    </w:p>
    <w:p w14:paraId="4A7CBEA2">
      <w:pPr>
        <w:pStyle w:val="15"/>
        <w:rPr>
          <w:sz w:val="18"/>
          <w:szCs w:val="18"/>
        </w:rPr>
      </w:pPr>
    </w:p>
    <w:p w14:paraId="23472452">
      <w:pPr>
        <w:pStyle w:val="15"/>
        <w:rPr>
          <w:sz w:val="18"/>
          <w:szCs w:val="18"/>
        </w:rPr>
      </w:pPr>
    </w:p>
    <w:p w14:paraId="7E8AE6B7">
      <w:pPr>
        <w:pStyle w:val="15"/>
        <w:rPr>
          <w:sz w:val="18"/>
          <w:szCs w:val="18"/>
        </w:rPr>
      </w:pPr>
    </w:p>
    <w:p w14:paraId="255809FC">
      <w:pPr>
        <w:pStyle w:val="15"/>
        <w:rPr>
          <w:sz w:val="18"/>
          <w:szCs w:val="18"/>
        </w:rPr>
      </w:pPr>
    </w:p>
    <w:p w14:paraId="7DD1213B">
      <w:pPr>
        <w:pStyle w:val="15"/>
        <w:rPr>
          <w:sz w:val="18"/>
          <w:szCs w:val="18"/>
        </w:rPr>
      </w:pPr>
    </w:p>
    <w:p w14:paraId="3A5164F7">
      <w:pPr>
        <w:pStyle w:val="15"/>
        <w:rPr>
          <w:sz w:val="18"/>
          <w:szCs w:val="18"/>
        </w:rPr>
      </w:pPr>
    </w:p>
    <w:p w14:paraId="4DFEC7C9">
      <w:pPr>
        <w:pStyle w:val="15"/>
        <w:rPr>
          <w:sz w:val="18"/>
          <w:szCs w:val="18"/>
        </w:rPr>
      </w:pPr>
    </w:p>
    <w:p w14:paraId="7B5D4CD2">
      <w:pPr>
        <w:pStyle w:val="15"/>
        <w:rPr>
          <w:sz w:val="18"/>
          <w:szCs w:val="18"/>
        </w:rPr>
      </w:pPr>
    </w:p>
    <w:p w14:paraId="1C9111E4">
      <w:pPr>
        <w:pStyle w:val="15"/>
        <w:rPr>
          <w:sz w:val="18"/>
          <w:szCs w:val="18"/>
        </w:rPr>
      </w:pPr>
    </w:p>
    <w:p w14:paraId="168171EF">
      <w:pPr>
        <w:pStyle w:val="15"/>
        <w:rPr>
          <w:sz w:val="18"/>
          <w:szCs w:val="18"/>
        </w:rPr>
      </w:pPr>
    </w:p>
    <w:p w14:paraId="08183076">
      <w:pPr>
        <w:pStyle w:val="15"/>
        <w:rPr>
          <w:sz w:val="18"/>
          <w:szCs w:val="18"/>
        </w:rPr>
      </w:pPr>
    </w:p>
    <w:p w14:paraId="7AFCA477">
      <w:pPr>
        <w:pStyle w:val="15"/>
        <w:rPr>
          <w:sz w:val="18"/>
          <w:szCs w:val="18"/>
        </w:rPr>
      </w:pPr>
    </w:p>
    <w:p w14:paraId="0DA32BBB">
      <w:pPr>
        <w:pStyle w:val="15"/>
        <w:rPr>
          <w:sz w:val="18"/>
          <w:szCs w:val="18"/>
        </w:rPr>
      </w:pPr>
    </w:p>
    <w:p w14:paraId="5B1CB85D">
      <w:pPr>
        <w:pStyle w:val="15"/>
        <w:rPr>
          <w:sz w:val="18"/>
          <w:szCs w:val="18"/>
        </w:rPr>
      </w:pPr>
    </w:p>
    <w:p w14:paraId="3ADAE720">
      <w:pPr>
        <w:pStyle w:val="15"/>
        <w:rPr>
          <w:sz w:val="18"/>
          <w:szCs w:val="18"/>
        </w:rPr>
      </w:pPr>
    </w:p>
    <w:p w14:paraId="20EF01CE">
      <w:pPr>
        <w:pStyle w:val="15"/>
        <w:rPr>
          <w:sz w:val="18"/>
          <w:szCs w:val="18"/>
        </w:rPr>
      </w:pPr>
    </w:p>
    <w:p w14:paraId="5F6680A3">
      <w:pPr>
        <w:pStyle w:val="15"/>
        <w:rPr>
          <w:sz w:val="18"/>
          <w:szCs w:val="18"/>
        </w:rPr>
      </w:pPr>
    </w:p>
    <w:p w14:paraId="74ECC6D6">
      <w:pPr>
        <w:pStyle w:val="15"/>
        <w:rPr>
          <w:sz w:val="18"/>
          <w:szCs w:val="18"/>
        </w:rPr>
      </w:pPr>
    </w:p>
    <w:p w14:paraId="7654F643">
      <w:pPr>
        <w:pStyle w:val="15"/>
        <w:rPr>
          <w:sz w:val="18"/>
          <w:szCs w:val="18"/>
        </w:rPr>
      </w:pPr>
    </w:p>
    <w:p w14:paraId="60F824BF">
      <w:pPr>
        <w:pStyle w:val="15"/>
        <w:rPr>
          <w:sz w:val="18"/>
          <w:szCs w:val="18"/>
        </w:rPr>
      </w:pPr>
    </w:p>
    <w:p w14:paraId="34DB0765">
      <w:pPr>
        <w:pStyle w:val="15"/>
        <w:rPr>
          <w:sz w:val="18"/>
          <w:szCs w:val="18"/>
        </w:rPr>
      </w:pPr>
    </w:p>
    <w:p w14:paraId="42916759">
      <w:pPr>
        <w:pStyle w:val="15"/>
        <w:rPr>
          <w:sz w:val="18"/>
          <w:szCs w:val="18"/>
        </w:rPr>
      </w:pPr>
    </w:p>
    <w:p w14:paraId="0C37C4A4">
      <w:pPr>
        <w:pStyle w:val="15"/>
        <w:rPr>
          <w:sz w:val="18"/>
          <w:szCs w:val="18"/>
        </w:rPr>
      </w:pPr>
    </w:p>
    <w:p w14:paraId="32FDFDC5">
      <w:pPr>
        <w:pStyle w:val="15"/>
        <w:rPr>
          <w:sz w:val="18"/>
          <w:szCs w:val="18"/>
        </w:rPr>
      </w:pPr>
    </w:p>
    <w:p w14:paraId="4598CE9C">
      <w:pPr>
        <w:pStyle w:val="15"/>
        <w:rPr>
          <w:sz w:val="18"/>
          <w:szCs w:val="18"/>
        </w:rPr>
      </w:pPr>
    </w:p>
    <w:p w14:paraId="339C89AE">
      <w:pPr>
        <w:pStyle w:val="15"/>
        <w:rPr>
          <w:sz w:val="18"/>
          <w:szCs w:val="18"/>
        </w:rPr>
      </w:pPr>
    </w:p>
    <w:p w14:paraId="5B3F494F">
      <w:pPr>
        <w:pStyle w:val="15"/>
        <w:rPr>
          <w:sz w:val="18"/>
          <w:szCs w:val="18"/>
        </w:rPr>
      </w:pPr>
    </w:p>
    <w:p w14:paraId="3987B295">
      <w:pPr>
        <w:pStyle w:val="15"/>
        <w:rPr>
          <w:sz w:val="18"/>
          <w:szCs w:val="18"/>
        </w:rPr>
      </w:pPr>
    </w:p>
    <w:p w14:paraId="3B4B2760">
      <w:pPr>
        <w:pStyle w:val="15"/>
        <w:rPr>
          <w:sz w:val="18"/>
          <w:szCs w:val="18"/>
        </w:rPr>
      </w:pPr>
    </w:p>
    <w:p w14:paraId="57C160C0">
      <w:pPr>
        <w:pStyle w:val="15"/>
        <w:rPr>
          <w:sz w:val="18"/>
          <w:szCs w:val="18"/>
        </w:rPr>
      </w:pPr>
    </w:p>
    <w:p w14:paraId="2B23133F">
      <w:pPr>
        <w:pStyle w:val="15"/>
        <w:rPr>
          <w:sz w:val="18"/>
          <w:szCs w:val="18"/>
        </w:rPr>
      </w:pPr>
    </w:p>
    <w:p w14:paraId="68B3231F">
      <w:pPr>
        <w:pStyle w:val="15"/>
        <w:rPr>
          <w:sz w:val="18"/>
          <w:szCs w:val="18"/>
        </w:rPr>
      </w:pPr>
    </w:p>
    <w:p w14:paraId="43B599FE">
      <w:pPr>
        <w:pStyle w:val="15"/>
        <w:rPr>
          <w:sz w:val="18"/>
          <w:szCs w:val="18"/>
        </w:rPr>
      </w:pPr>
    </w:p>
    <w:p w14:paraId="055F595E">
      <w:pPr>
        <w:pStyle w:val="15"/>
        <w:rPr>
          <w:sz w:val="18"/>
          <w:szCs w:val="18"/>
        </w:rPr>
      </w:pPr>
    </w:p>
    <w:p w14:paraId="11B97F75">
      <w:pPr>
        <w:pStyle w:val="15"/>
        <w:rPr>
          <w:sz w:val="18"/>
          <w:szCs w:val="18"/>
        </w:rPr>
      </w:pPr>
    </w:p>
    <w:p w14:paraId="5A435988">
      <w:pPr>
        <w:pStyle w:val="15"/>
        <w:rPr>
          <w:sz w:val="18"/>
          <w:szCs w:val="18"/>
        </w:rPr>
      </w:pPr>
    </w:p>
    <w:p w14:paraId="28D59360">
      <w:pPr>
        <w:pStyle w:val="15"/>
        <w:rPr>
          <w:sz w:val="18"/>
          <w:szCs w:val="18"/>
        </w:rPr>
      </w:pPr>
    </w:p>
    <w:p w14:paraId="307639BB">
      <w:pPr>
        <w:pStyle w:val="15"/>
        <w:rPr>
          <w:sz w:val="18"/>
          <w:szCs w:val="18"/>
        </w:rPr>
      </w:pPr>
    </w:p>
    <w:p w14:paraId="43B83504">
      <w:pPr>
        <w:pStyle w:val="15"/>
        <w:rPr>
          <w:sz w:val="18"/>
          <w:szCs w:val="18"/>
        </w:rPr>
      </w:pPr>
    </w:p>
    <w:p w14:paraId="659A84D0">
      <w:pPr>
        <w:pStyle w:val="15"/>
        <w:rPr>
          <w:sz w:val="18"/>
          <w:szCs w:val="18"/>
        </w:rPr>
      </w:pPr>
    </w:p>
    <w:p w14:paraId="31F5D827">
      <w:pPr>
        <w:pStyle w:val="15"/>
        <w:rPr>
          <w:sz w:val="18"/>
          <w:szCs w:val="18"/>
        </w:rPr>
      </w:pPr>
    </w:p>
    <w:p w14:paraId="07B62CB0">
      <w:pPr>
        <w:pStyle w:val="15"/>
        <w:rPr>
          <w:sz w:val="18"/>
          <w:szCs w:val="18"/>
        </w:rPr>
      </w:pPr>
    </w:p>
    <w:p w14:paraId="339785FE">
      <w:pPr>
        <w:pStyle w:val="15"/>
        <w:rPr>
          <w:sz w:val="18"/>
          <w:szCs w:val="18"/>
        </w:rPr>
      </w:pPr>
    </w:p>
    <w:p w14:paraId="7A017398">
      <w:pPr>
        <w:pStyle w:val="15"/>
        <w:rPr>
          <w:sz w:val="18"/>
          <w:szCs w:val="18"/>
        </w:rPr>
      </w:pPr>
    </w:p>
    <w:p w14:paraId="6A76AE95">
      <w:pPr>
        <w:pStyle w:val="15"/>
        <w:rPr>
          <w:sz w:val="18"/>
          <w:szCs w:val="18"/>
        </w:rPr>
      </w:pPr>
    </w:p>
    <w:p w14:paraId="6975A293">
      <w:pPr>
        <w:pStyle w:val="15"/>
        <w:rPr>
          <w:sz w:val="18"/>
          <w:szCs w:val="18"/>
        </w:rPr>
      </w:pPr>
    </w:p>
    <w:p w14:paraId="4532A5F3">
      <w:pPr>
        <w:pStyle w:val="15"/>
        <w:rPr>
          <w:sz w:val="18"/>
          <w:szCs w:val="18"/>
        </w:rPr>
      </w:pPr>
    </w:p>
    <w:p w14:paraId="1C228B23">
      <w:pPr>
        <w:pStyle w:val="15"/>
        <w:rPr>
          <w:sz w:val="18"/>
          <w:szCs w:val="18"/>
        </w:rPr>
      </w:pPr>
    </w:p>
    <w:p w14:paraId="5F8096D5">
      <w:pPr>
        <w:pStyle w:val="15"/>
        <w:rPr>
          <w:sz w:val="18"/>
          <w:szCs w:val="18"/>
        </w:rPr>
      </w:pPr>
    </w:p>
    <w:p w14:paraId="5357F944">
      <w:pPr>
        <w:pStyle w:val="15"/>
        <w:rPr>
          <w:sz w:val="18"/>
          <w:szCs w:val="18"/>
        </w:rPr>
      </w:pPr>
    </w:p>
    <w:p w14:paraId="58E031CB">
      <w:pPr>
        <w:pStyle w:val="15"/>
        <w:rPr>
          <w:sz w:val="18"/>
          <w:szCs w:val="18"/>
        </w:rPr>
      </w:pPr>
    </w:p>
    <w:p w14:paraId="5C8FFC44">
      <w:pPr>
        <w:pStyle w:val="15"/>
        <w:rPr>
          <w:sz w:val="18"/>
          <w:szCs w:val="18"/>
        </w:rPr>
      </w:pPr>
    </w:p>
    <w:p w14:paraId="46FEBE91">
      <w:pPr>
        <w:pStyle w:val="15"/>
        <w:rPr>
          <w:sz w:val="18"/>
          <w:szCs w:val="18"/>
        </w:rPr>
      </w:pPr>
    </w:p>
    <w:p w14:paraId="5B25B920">
      <w:pPr>
        <w:pStyle w:val="15"/>
        <w:rPr>
          <w:sz w:val="18"/>
          <w:szCs w:val="18"/>
        </w:rPr>
      </w:pPr>
    </w:p>
    <w:p w14:paraId="2CA77818">
      <w:pPr>
        <w:pStyle w:val="15"/>
        <w:rPr>
          <w:sz w:val="18"/>
          <w:szCs w:val="18"/>
        </w:rPr>
      </w:pPr>
    </w:p>
    <w:p w14:paraId="643B2211">
      <w:pPr>
        <w:pStyle w:val="15"/>
        <w:rPr>
          <w:sz w:val="18"/>
          <w:szCs w:val="18"/>
        </w:rPr>
      </w:pPr>
    </w:p>
    <w:p w14:paraId="4176D84E">
      <w:pPr>
        <w:pStyle w:val="15"/>
        <w:rPr>
          <w:sz w:val="18"/>
          <w:szCs w:val="18"/>
        </w:r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5408" behindDoc="1" locked="0" layoutInCell="1" allowOverlap="1">
            <wp:simplePos x="0" y="0"/>
            <wp:positionH relativeFrom="column">
              <wp:posOffset>-234315</wp:posOffset>
            </wp:positionH>
            <wp:positionV relativeFrom="paragraph">
              <wp:posOffset>-3972560</wp:posOffset>
            </wp:positionV>
            <wp:extent cx="7578090" cy="10716895"/>
            <wp:effectExtent l="0" t="0" r="3810" b="8255"/>
            <wp:wrapNone/>
            <wp:docPr id="10" name="图片 10"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臻享四省文档.jpg臻享四省文档"/>
                    <pic:cNvPicPr>
                      <a:picLocks noChangeAspect="1"/>
                    </pic:cNvPicPr>
                  </pic:nvPicPr>
                  <pic:blipFill>
                    <a:blip r:embed="rId15"/>
                    <a:srcRect t="13" b="13"/>
                    <a:stretch>
                      <a:fillRect/>
                    </a:stretch>
                  </pic:blipFill>
                  <pic:spPr>
                    <a:xfrm>
                      <a:off x="0" y="0"/>
                      <a:ext cx="7578090" cy="10716895"/>
                    </a:xfrm>
                    <a:prstGeom prst="rect">
                      <a:avLst/>
                    </a:prstGeom>
                    <a:noFill/>
                    <a:ln>
                      <a:noFill/>
                    </a:ln>
                  </pic:spPr>
                </pic:pic>
              </a:graphicData>
            </a:graphic>
          </wp:anchor>
        </w:drawing>
      </w:r>
    </w:p>
    <w:p w14:paraId="5A3B7B5B">
      <w:pPr>
        <w:pStyle w:val="15"/>
        <w:rPr>
          <w:sz w:val="18"/>
          <w:szCs w:val="18"/>
        </w:rPr>
      </w:pPr>
    </w:p>
    <w:p w14:paraId="59109302">
      <w:pPr>
        <w:pStyle w:val="15"/>
        <w:rPr>
          <w:sz w:val="18"/>
          <w:szCs w:val="18"/>
        </w:rPr>
      </w:pPr>
    </w:p>
    <w:p w14:paraId="36114A8D">
      <w:pPr>
        <w:pStyle w:val="15"/>
        <w:rPr>
          <w:sz w:val="18"/>
          <w:szCs w:val="18"/>
        </w:rPr>
      </w:pPr>
    </w:p>
    <w:p w14:paraId="1D291F94">
      <w:pPr>
        <w:pStyle w:val="15"/>
        <w:rPr>
          <w:sz w:val="18"/>
          <w:szCs w:val="18"/>
        </w:rPr>
      </w:pPr>
    </w:p>
    <w:p w14:paraId="18FCD301">
      <w:pPr>
        <w:pStyle w:val="15"/>
        <w:rPr>
          <w:sz w:val="18"/>
          <w:szCs w:val="18"/>
        </w:rPr>
      </w:pPr>
    </w:p>
    <w:p w14:paraId="0F614281">
      <w:pPr>
        <w:pStyle w:val="15"/>
        <w:rPr>
          <w:sz w:val="18"/>
          <w:szCs w:val="18"/>
        </w:rPr>
      </w:pPr>
    </w:p>
    <w:p w14:paraId="3A44AB44">
      <w:pPr>
        <w:pStyle w:val="15"/>
        <w:rPr>
          <w:sz w:val="18"/>
          <w:szCs w:val="18"/>
        </w:rPr>
      </w:pPr>
    </w:p>
    <w:p w14:paraId="40689786">
      <w:pPr>
        <w:pStyle w:val="15"/>
        <w:rPr>
          <w:sz w:val="18"/>
          <w:szCs w:val="18"/>
        </w:rPr>
      </w:pPr>
    </w:p>
    <w:p w14:paraId="123715DF">
      <w:pPr>
        <w:pStyle w:val="15"/>
        <w:rPr>
          <w:sz w:val="18"/>
          <w:szCs w:val="18"/>
        </w:rPr>
      </w:pPr>
    </w:p>
    <w:p w14:paraId="25D69CFD">
      <w:pPr>
        <w:pStyle w:val="15"/>
        <w:rPr>
          <w:sz w:val="18"/>
          <w:szCs w:val="18"/>
        </w:rPr>
      </w:pPr>
    </w:p>
    <w:p w14:paraId="76B5DD31">
      <w:pPr>
        <w:pStyle w:val="15"/>
        <w:rPr>
          <w:sz w:val="18"/>
          <w:szCs w:val="18"/>
        </w:rPr>
      </w:pPr>
    </w:p>
    <w:p w14:paraId="687D35EF">
      <w:pPr>
        <w:pStyle w:val="15"/>
        <w:rPr>
          <w:sz w:val="18"/>
          <w:szCs w:val="18"/>
        </w:rPr>
      </w:pPr>
    </w:p>
    <w:p w14:paraId="7B76FA32">
      <w:pPr>
        <w:pStyle w:val="15"/>
        <w:rPr>
          <w:sz w:val="18"/>
          <w:szCs w:val="18"/>
        </w:rPr>
      </w:pPr>
    </w:p>
    <w:p w14:paraId="043B4BF1">
      <w:pPr>
        <w:pStyle w:val="15"/>
        <w:rPr>
          <w:sz w:val="18"/>
          <w:szCs w:val="18"/>
        </w:rPr>
      </w:pPr>
    </w:p>
    <w:p w14:paraId="215F800A">
      <w:pPr>
        <w:pStyle w:val="15"/>
        <w:rPr>
          <w:sz w:val="18"/>
          <w:szCs w:val="18"/>
        </w:rPr>
      </w:pPr>
    </w:p>
    <w:p w14:paraId="2CEF45F7">
      <w:pPr>
        <w:pStyle w:val="15"/>
        <w:rPr>
          <w:sz w:val="18"/>
          <w:szCs w:val="18"/>
        </w:rPr>
      </w:pPr>
    </w:p>
    <w:p w14:paraId="607CD569">
      <w:pPr>
        <w:pStyle w:val="15"/>
        <w:rPr>
          <w:sz w:val="18"/>
          <w:szCs w:val="18"/>
        </w:rPr>
      </w:pPr>
    </w:p>
    <w:p w14:paraId="603006FF">
      <w:pPr>
        <w:pStyle w:val="15"/>
        <w:rPr>
          <w:sz w:val="18"/>
          <w:szCs w:val="18"/>
        </w:rPr>
      </w:pPr>
    </w:p>
    <w:p w14:paraId="68201840">
      <w:pPr>
        <w:pStyle w:val="15"/>
        <w:rPr>
          <w:sz w:val="18"/>
          <w:szCs w:val="18"/>
        </w:rPr>
      </w:pPr>
    </w:p>
    <w:p w14:paraId="228BF5EB">
      <w:pPr>
        <w:pStyle w:val="15"/>
        <w:rPr>
          <w:sz w:val="18"/>
          <w:szCs w:val="18"/>
        </w:rPr>
      </w:pPr>
    </w:p>
    <w:p w14:paraId="65BFC12F">
      <w:pPr>
        <w:pStyle w:val="15"/>
        <w:rPr>
          <w:sz w:val="18"/>
          <w:szCs w:val="18"/>
        </w:rPr>
      </w:pPr>
    </w:p>
    <w:p w14:paraId="17D2C814">
      <w:pPr>
        <w:pStyle w:val="15"/>
        <w:rPr>
          <w:sz w:val="18"/>
          <w:szCs w:val="18"/>
        </w:rPr>
      </w:pPr>
    </w:p>
    <w:p w14:paraId="53A608F8">
      <w:pPr>
        <w:pStyle w:val="15"/>
        <w:rPr>
          <w:sz w:val="18"/>
          <w:szCs w:val="18"/>
        </w:rPr>
      </w:pPr>
    </w:p>
    <w:p w14:paraId="7D940247">
      <w:pPr>
        <w:pStyle w:val="15"/>
        <w:rPr>
          <w:sz w:val="18"/>
          <w:szCs w:val="18"/>
        </w:rPr>
      </w:pPr>
    </w:p>
    <w:p w14:paraId="52FE9F86">
      <w:pPr>
        <w:pStyle w:val="15"/>
        <w:rPr>
          <w:sz w:val="18"/>
          <w:szCs w:val="18"/>
        </w:rPr>
      </w:pPr>
    </w:p>
    <w:p w14:paraId="337ECAEB">
      <w:pPr>
        <w:pStyle w:val="15"/>
        <w:rPr>
          <w:sz w:val="18"/>
          <w:szCs w:val="18"/>
        </w:rPr>
      </w:pPr>
    </w:p>
    <w:p w14:paraId="042A85FA">
      <w:pPr>
        <w:pStyle w:val="15"/>
        <w:rPr>
          <w:sz w:val="18"/>
          <w:szCs w:val="18"/>
        </w:rPr>
      </w:pPr>
    </w:p>
    <w:p w14:paraId="187CA946">
      <w:pPr>
        <w:pStyle w:val="15"/>
        <w:rPr>
          <w:sz w:val="18"/>
          <w:szCs w:val="18"/>
        </w:rPr>
      </w:pPr>
    </w:p>
    <w:p w14:paraId="77712C60">
      <w:pPr>
        <w:pStyle w:val="15"/>
        <w:rPr>
          <w:sz w:val="18"/>
          <w:szCs w:val="18"/>
        </w:rPr>
      </w:pPr>
    </w:p>
    <w:p w14:paraId="7BB22636">
      <w:pPr>
        <w:pStyle w:val="15"/>
        <w:rPr>
          <w:sz w:val="18"/>
          <w:szCs w:val="18"/>
        </w:rPr>
      </w:pPr>
    </w:p>
    <w:p w14:paraId="25EAC16F">
      <w:pPr>
        <w:pStyle w:val="15"/>
        <w:rPr>
          <w:sz w:val="18"/>
          <w:szCs w:val="18"/>
        </w:rPr>
      </w:pPr>
    </w:p>
    <w:p w14:paraId="637C5E2B">
      <w:pPr>
        <w:pStyle w:val="15"/>
        <w:rPr>
          <w:sz w:val="18"/>
          <w:szCs w:val="18"/>
        </w:rPr>
      </w:pPr>
    </w:p>
    <w:tbl>
      <w:tblPr>
        <w:tblStyle w:val="11"/>
        <w:tblpPr w:leftFromText="180" w:rightFromText="180" w:vertAnchor="page" w:horzAnchor="margin" w:tblpX="-82" w:tblpY="341"/>
        <w:tblW w:w="1166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4"/>
        <w:gridCol w:w="6733"/>
        <w:gridCol w:w="645"/>
        <w:gridCol w:w="645"/>
        <w:gridCol w:w="647"/>
        <w:gridCol w:w="1807"/>
      </w:tblGrid>
      <w:tr w14:paraId="5D24ED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59" w:hRule="atLeast"/>
        </w:trPr>
        <w:tc>
          <w:tcPr>
            <w:tcW w:w="11661" w:type="dxa"/>
            <w:gridSpan w:val="6"/>
            <w:shd w:val="clear" w:color="auto" w:fill="00B050"/>
          </w:tcPr>
          <w:p w14:paraId="5B207207">
            <w:pPr>
              <w:pStyle w:val="9"/>
              <w:spacing w:after="120" w:afterAutospacing="0"/>
              <w:jc w:val="center"/>
              <w:rPr>
                <w:rFonts w:ascii="微软简仿宋" w:hAnsi="微软简仿宋" w:eastAsia="微软简仿宋" w:cs="微软简仿宋"/>
                <w:b/>
                <w:bCs/>
                <w:sz w:val="24"/>
              </w:rPr>
            </w:pPr>
            <w:r>
              <w:rPr>
                <w:rFonts w:hint="eastAsia" w:ascii="微软雅黑" w:hAnsi="微软雅黑" w:eastAsia="微软雅黑" w:cs="微软雅黑"/>
                <w:b/>
                <w:color w:val="auto"/>
                <w:spacing w:val="6"/>
                <w:kern w:val="0"/>
                <w:sz w:val="36"/>
                <w:szCs w:val="36"/>
                <w:lang w:eastAsia="zh-CN"/>
              </w:rPr>
              <w:t>【新四省新传奇】长江三峡 /恩施地心谷/女儿城/酉阳桃花源 /叠石花谷/凤凰古城/湘西苗寨/坐龙洞/天门山国家森林公园/玻璃栈道/</w:t>
            </w:r>
            <w:r>
              <w:rPr>
                <w:rFonts w:hint="eastAsia" w:ascii="微软雅黑" w:hAnsi="微软雅黑" w:eastAsia="微软雅黑" w:cs="微软雅黑"/>
                <w:b/>
                <w:color w:val="auto"/>
                <w:spacing w:val="6"/>
                <w:kern w:val="0"/>
                <w:sz w:val="36"/>
                <w:szCs w:val="36"/>
                <w:lang w:val="en-US" w:eastAsia="zh-CN"/>
              </w:rPr>
              <w:t>土司城</w:t>
            </w:r>
            <w:r>
              <w:rPr>
                <w:rFonts w:hint="eastAsia" w:ascii="微软雅黑" w:hAnsi="微软雅黑" w:eastAsia="微软雅黑" w:cs="微软雅黑"/>
                <w:b/>
                <w:color w:val="auto"/>
                <w:spacing w:val="6"/>
                <w:kern w:val="0"/>
                <w:sz w:val="36"/>
                <w:szCs w:val="36"/>
                <w:lang w:eastAsia="zh-CN"/>
              </w:rPr>
              <w:t>/双飞</w:t>
            </w:r>
            <w:r>
              <w:rPr>
                <w:rFonts w:hint="eastAsia" w:ascii="微软雅黑" w:hAnsi="微软雅黑" w:eastAsia="微软雅黑" w:cs="微软雅黑"/>
                <w:b/>
                <w:color w:val="auto"/>
                <w:spacing w:val="6"/>
                <w:kern w:val="0"/>
                <w:sz w:val="36"/>
                <w:szCs w:val="36"/>
                <w:lang w:val="en-US" w:eastAsia="zh-CN"/>
              </w:rPr>
              <w:t>8</w:t>
            </w:r>
            <w:r>
              <w:rPr>
                <w:rFonts w:hint="eastAsia" w:ascii="微软雅黑" w:hAnsi="微软雅黑" w:eastAsia="微软雅黑" w:cs="微软雅黑"/>
                <w:b/>
                <w:color w:val="auto"/>
                <w:spacing w:val="6"/>
                <w:kern w:val="0"/>
                <w:sz w:val="36"/>
                <w:szCs w:val="36"/>
                <w:lang w:eastAsia="zh-CN"/>
              </w:rPr>
              <w:t>日</w:t>
            </w:r>
            <w:r>
              <w:rPr>
                <w:rFonts w:hint="eastAsia" w:ascii="微软雅黑" w:hAnsi="微软雅黑" w:eastAsia="微软雅黑" w:cs="微软雅黑"/>
                <w:b/>
                <w:color w:val="auto"/>
                <w:spacing w:val="6"/>
                <w:kern w:val="0"/>
                <w:sz w:val="36"/>
                <w:szCs w:val="36"/>
                <w:lang w:val="en-US" w:eastAsia="zh-CN"/>
              </w:rPr>
              <w:t>超值</w:t>
            </w:r>
            <w:r>
              <w:rPr>
                <w:rFonts w:hint="eastAsia" w:ascii="微软雅黑" w:hAnsi="微软雅黑" w:eastAsia="微软雅黑" w:cs="微软雅黑"/>
                <w:b/>
                <w:color w:val="auto"/>
                <w:spacing w:val="6"/>
                <w:kern w:val="0"/>
                <w:sz w:val="36"/>
                <w:szCs w:val="36"/>
                <w:lang w:eastAsia="zh-CN"/>
              </w:rPr>
              <w:t>游</w:t>
            </w:r>
            <w:r>
              <w:rPr>
                <w:rFonts w:hint="eastAsia" w:ascii="inherit" w:hAnsi="inherit" w:eastAsia="微软雅黑" w:cs="Helvetica"/>
                <w:b/>
                <w:bCs/>
                <w:color w:val="333333"/>
                <w:spacing w:val="7"/>
                <w:kern w:val="0"/>
                <w:sz w:val="36"/>
                <w:szCs w:val="36"/>
                <w:lang w:eastAsia="zh-CN"/>
              </w:rPr>
              <w:drawing>
                <wp:inline distT="0" distB="0" distL="114300" distR="114300">
                  <wp:extent cx="7308215" cy="991235"/>
                  <wp:effectExtent l="0" t="0" r="6985" b="18415"/>
                  <wp:docPr id="1" name="图片 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1c6c9b8057af9f2ab69466c343f2f"/>
                          <pic:cNvPicPr>
                            <a:picLocks noChangeAspect="1"/>
                          </pic:cNvPicPr>
                        </pic:nvPicPr>
                        <pic:blipFill>
                          <a:blip r:embed="rId16"/>
                          <a:stretch>
                            <a:fillRect/>
                          </a:stretch>
                        </pic:blipFill>
                        <pic:spPr>
                          <a:xfrm>
                            <a:off x="0" y="0"/>
                            <a:ext cx="7308215" cy="991235"/>
                          </a:xfrm>
                          <a:prstGeom prst="rect">
                            <a:avLst/>
                          </a:prstGeom>
                        </pic:spPr>
                      </pic:pic>
                    </a:graphicData>
                  </a:graphic>
                </wp:inline>
              </w:drawing>
            </w:r>
          </w:p>
        </w:tc>
      </w:tr>
      <w:tr w14:paraId="0EDC93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bottom w:val="single" w:color="auto" w:sz="4" w:space="0"/>
            </w:tcBorders>
          </w:tcPr>
          <w:p w14:paraId="5630351B">
            <w:pPr>
              <w:pStyle w:val="27"/>
              <w:keepNext w:val="0"/>
              <w:keepLines w:val="0"/>
              <w:pageBreakBefore w:val="0"/>
              <w:widowControl w:val="0"/>
              <w:kinsoku/>
              <w:wordWrap/>
              <w:overflowPunct/>
              <w:topLinePunct w:val="0"/>
              <w:autoSpaceDE/>
              <w:autoSpaceDN/>
              <w:bidi w:val="0"/>
              <w:adjustRightInd/>
              <w:snapToGrid w:val="0"/>
              <w:spacing w:line="460" w:lineRule="exact"/>
              <w:ind w:left="1890" w:leftChars="0" w:hanging="1890" w:hangingChars="900"/>
              <w:jc w:val="left"/>
              <w:textAlignment w:val="auto"/>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FF0000"/>
                <w:sz w:val="21"/>
                <w:szCs w:val="21"/>
              </w:rPr>
              <w:t>1：【</w:t>
            </w:r>
            <w:r>
              <w:rPr>
                <w:rFonts w:hint="eastAsia" w:ascii="微软雅黑" w:hAnsi="微软雅黑" w:eastAsia="微软雅黑" w:cs="微软雅黑"/>
                <w:b w:val="0"/>
                <w:bCs/>
                <w:color w:val="FF0000"/>
                <w:sz w:val="21"/>
                <w:szCs w:val="21"/>
                <w:lang w:eastAsia="zh-CN"/>
              </w:rPr>
              <w:t>尊享品</w:t>
            </w:r>
            <w:r>
              <w:rPr>
                <w:rFonts w:hint="eastAsia" w:ascii="微软雅黑" w:hAnsi="微软雅黑" w:eastAsia="微软雅黑" w:cs="微软雅黑"/>
                <w:b w:val="0"/>
                <w:bCs/>
                <w:color w:val="FF0000"/>
                <w:sz w:val="21"/>
                <w:szCs w:val="21"/>
              </w:rPr>
              <w:t>牌】</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bCs w:val="0"/>
                <w:color w:val="FF0000"/>
                <w:kern w:val="2"/>
                <w:sz w:val="21"/>
                <w:szCs w:val="21"/>
                <w:lang w:val="en-US" w:eastAsia="zh-CN" w:bidi="ar-SA"/>
              </w:rPr>
              <w:t>探陶渊明笔下世外桃源【桃花源】，深度游玩四省各景点之最。</w:t>
            </w:r>
          </w:p>
          <w:p w14:paraId="42D99B36">
            <w:pPr>
              <w:spacing w:line="360" w:lineRule="exact"/>
              <w:ind w:right="63"/>
              <w:rPr>
                <w:rFonts w:hint="eastAsia" w:ascii="微软雅黑" w:hAnsi="微软雅黑" w:eastAsia="微软雅黑" w:cs="微软雅黑"/>
                <w:b w:val="0"/>
                <w:bCs/>
                <w:color w:val="FF0000"/>
                <w:sz w:val="21"/>
                <w:szCs w:val="21"/>
                <w:lang w:eastAsia="zh-CN"/>
              </w:rPr>
            </w:pPr>
            <w:r>
              <w:rPr>
                <w:rFonts w:hint="eastAsia" w:ascii="微软雅黑" w:hAnsi="微软雅黑" w:eastAsia="微软雅黑" w:cs="微软雅黑"/>
                <w:b w:val="0"/>
                <w:bCs/>
                <w:color w:val="FF0000"/>
                <w:sz w:val="21"/>
                <w:szCs w:val="21"/>
                <w:lang w:val="en-US" w:eastAsia="zh-CN"/>
              </w:rPr>
              <w:t>2</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尊享美景】</w:t>
            </w:r>
            <w:r>
              <w:rPr>
                <w:rFonts w:hint="eastAsia" w:ascii="微软雅黑" w:hAnsi="微软雅黑" w:eastAsia="微软雅黑" w:cs="微软雅黑"/>
                <w:b w:val="0"/>
                <w:bCs/>
                <w:color w:val="auto"/>
                <w:sz w:val="21"/>
                <w:szCs w:val="21"/>
                <w:lang w:eastAsia="zh-CN"/>
              </w:rPr>
              <w:t>：</w:t>
            </w:r>
          </w:p>
          <w:p w14:paraId="0E48547D">
            <w:pPr>
              <w:spacing w:line="400" w:lineRule="exact"/>
              <w:ind w:firstLine="1680" w:firstLineChars="800"/>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►长江三峡葛洲坝过船闸，水涨船高，葛洲坝/西陵峡5A景区</w:t>
            </w:r>
            <w:r>
              <w:rPr>
                <w:rFonts w:hint="eastAsia" w:ascii="微软雅黑" w:hAnsi="微软雅黑" w:eastAsia="微软雅黑" w:cs="微软雅黑"/>
                <w:b/>
                <w:bCs w:val="0"/>
                <w:color w:val="FF0000"/>
                <w:kern w:val="2"/>
                <w:sz w:val="21"/>
                <w:szCs w:val="21"/>
                <w:lang w:val="en-US" w:eastAsia="zh-CN" w:bidi="ar-SA"/>
              </w:rPr>
              <w:t>【两坝一峡】</w:t>
            </w:r>
          </w:p>
          <w:p w14:paraId="3494CC0B">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►五月归来不看山、地心归来不看谷4A景区</w:t>
            </w:r>
            <w:r>
              <w:rPr>
                <w:rFonts w:hint="eastAsia" w:ascii="微软雅黑" w:hAnsi="微软雅黑" w:eastAsia="微软雅黑" w:cs="微软雅黑"/>
                <w:b/>
                <w:bCs w:val="0"/>
                <w:color w:val="FF0000"/>
                <w:kern w:val="2"/>
                <w:sz w:val="21"/>
                <w:szCs w:val="21"/>
                <w:lang w:val="en-US" w:eastAsia="zh-CN" w:bidi="ar-SA"/>
              </w:rPr>
              <w:t>【地心谷】</w:t>
            </w:r>
          </w:p>
          <w:p w14:paraId="677B32E6">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►世间男子不二心，天下女儿第一城</w:t>
            </w:r>
            <w:r>
              <w:rPr>
                <w:rFonts w:hint="eastAsia" w:ascii="微软雅黑" w:hAnsi="微软雅黑" w:eastAsia="微软雅黑" w:cs="微软雅黑"/>
                <w:b/>
                <w:bCs w:val="0"/>
                <w:color w:val="FF0000"/>
                <w:kern w:val="2"/>
                <w:sz w:val="21"/>
                <w:szCs w:val="21"/>
                <w:lang w:val="en-US" w:eastAsia="zh-CN" w:bidi="ar-SA"/>
              </w:rPr>
              <w:t>【恩施女儿城】</w:t>
            </w:r>
          </w:p>
          <w:p w14:paraId="2E365193">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►陶渊明笔下与世隔绝的“世外桃源” 5A景区</w:t>
            </w:r>
            <w:r>
              <w:rPr>
                <w:rFonts w:hint="eastAsia" w:ascii="微软雅黑" w:hAnsi="微软雅黑" w:eastAsia="微软雅黑" w:cs="微软雅黑"/>
                <w:b/>
                <w:bCs w:val="0"/>
                <w:color w:val="FF0000"/>
                <w:kern w:val="2"/>
                <w:sz w:val="21"/>
                <w:szCs w:val="21"/>
                <w:lang w:val="en-US" w:eastAsia="zh-CN" w:bidi="ar-SA"/>
              </w:rPr>
              <w:t>【酉阳桃花源】</w:t>
            </w:r>
          </w:p>
          <w:p w14:paraId="5D2E501E">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►感受神秘的叠石奇观5A景区</w:t>
            </w:r>
            <w:r>
              <w:rPr>
                <w:rFonts w:hint="eastAsia" w:ascii="微软雅黑" w:hAnsi="微软雅黑" w:eastAsia="微软雅黑" w:cs="微软雅黑"/>
                <w:b/>
                <w:bCs w:val="0"/>
                <w:color w:val="FF0000"/>
                <w:kern w:val="2"/>
                <w:sz w:val="21"/>
                <w:szCs w:val="21"/>
                <w:lang w:val="en-US" w:eastAsia="zh-CN" w:bidi="ar-SA"/>
              </w:rPr>
              <w:t>【叠石花谷】</w:t>
            </w:r>
          </w:p>
          <w:p w14:paraId="711F495F">
            <w:pPr>
              <w:spacing w:line="400" w:lineRule="exact"/>
              <w:ind w:firstLine="1680" w:firstLineChars="800"/>
              <w:rPr>
                <w:rFonts w:ascii="微软雅黑" w:hAnsi="微软雅黑" w:eastAsia="微软雅黑" w:cs="微软雅黑"/>
                <w:b/>
                <w:bCs w:val="0"/>
              </w:rPr>
            </w:pPr>
            <w:r>
              <w:rPr>
                <w:rFonts w:hint="eastAsia" w:ascii="微软雅黑" w:hAnsi="微软雅黑" w:eastAsia="微软雅黑" w:cs="微软雅黑"/>
              </w:rPr>
              <w:t>►沈从文笔下原型边城</w:t>
            </w:r>
            <w:r>
              <w:rPr>
                <w:rFonts w:hint="eastAsia" w:ascii="微软雅黑" w:hAnsi="微软雅黑" w:eastAsia="微软雅黑" w:cs="微软雅黑"/>
                <w:b/>
                <w:bCs w:val="0"/>
                <w:color w:val="FF0000"/>
              </w:rPr>
              <w:t>【重庆红安边城】</w:t>
            </w:r>
          </w:p>
          <w:p w14:paraId="0330316B">
            <w:pPr>
              <w:spacing w:line="400" w:lineRule="exact"/>
              <w:ind w:firstLine="1680" w:firstLineChars="800"/>
              <w:rPr>
                <w:rFonts w:ascii="微软雅黑" w:hAnsi="微软雅黑" w:eastAsia="微软雅黑" w:cs="微软雅黑"/>
              </w:rPr>
            </w:pPr>
            <w:r>
              <w:rPr>
                <w:rFonts w:hint="eastAsia" w:ascii="微软雅黑" w:hAnsi="微软雅黑" w:eastAsia="微软雅黑" w:cs="微软雅黑"/>
              </w:rPr>
              <w:t>►为了你，我已等候千年，读你千遍，不如一见——5A景区</w:t>
            </w:r>
            <w:r>
              <w:rPr>
                <w:rFonts w:hint="eastAsia" w:ascii="微软雅黑" w:hAnsi="微软雅黑" w:eastAsia="微软雅黑" w:cs="微软雅黑"/>
                <w:b/>
                <w:bCs w:val="0"/>
                <w:color w:val="FF0000"/>
              </w:rPr>
              <w:t>【凤凰古城】</w:t>
            </w:r>
          </w:p>
          <w:p w14:paraId="2462B656">
            <w:pPr>
              <w:spacing w:line="400" w:lineRule="exact"/>
              <w:ind w:firstLine="1680" w:firstLineChars="800"/>
              <w:rPr>
                <w:rFonts w:hint="eastAsia" w:ascii="微软雅黑" w:hAnsi="微软雅黑" w:eastAsia="微软雅黑"/>
                <w:b w:val="0"/>
                <w:bCs/>
                <w:szCs w:val="21"/>
              </w:rPr>
            </w:pPr>
            <w:r>
              <w:rPr>
                <w:rFonts w:hint="eastAsia" w:ascii="微软雅黑" w:hAnsi="微软雅黑" w:eastAsia="微软雅黑" w:cs="微软雅黑"/>
              </w:rPr>
              <w:t>►最美空中花园，天界仙境景区世界自然遗产——5A景区</w:t>
            </w:r>
            <w:r>
              <w:rPr>
                <w:rFonts w:hint="eastAsia" w:ascii="微软雅黑" w:hAnsi="微软雅黑" w:eastAsia="微软雅黑" w:cs="微软雅黑"/>
                <w:b/>
                <w:bCs w:val="0"/>
                <w:color w:val="FF0000"/>
              </w:rPr>
              <w:t>【天门山国家森林公园】</w:t>
            </w:r>
          </w:p>
          <w:p w14:paraId="72B3594D">
            <w:pPr>
              <w:spacing w:line="400" w:lineRule="exact"/>
              <w:ind w:firstLine="1680" w:firstLineChars="800"/>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rPr>
              <w:t>►</w:t>
            </w:r>
            <w:r>
              <w:rPr>
                <w:rFonts w:hint="eastAsia" w:ascii="微软雅黑" w:hAnsi="微软雅黑" w:eastAsia="微软雅黑" w:cs="微软雅黑"/>
                <w:b w:val="0"/>
                <w:bCs/>
                <w:color w:val="000000"/>
                <w:sz w:val="21"/>
                <w:szCs w:val="21"/>
                <w:lang w:eastAsia="zh-CN"/>
              </w:rPr>
              <w:t>一座人文景观与自然景观相融合</w:t>
            </w:r>
            <w:r>
              <w:rPr>
                <w:rFonts w:hint="eastAsia" w:ascii="微软雅黑" w:hAnsi="微软雅黑" w:eastAsia="微软雅黑" w:cs="微软雅黑"/>
                <w:b/>
                <w:bCs w:val="0"/>
                <w:color w:val="FF0000"/>
                <w:sz w:val="21"/>
                <w:szCs w:val="21"/>
              </w:rPr>
              <w:t>【张家界土司城】</w:t>
            </w:r>
          </w:p>
          <w:p w14:paraId="0B4E18C7">
            <w:pPr>
              <w:keepNext w:val="0"/>
              <w:keepLines w:val="0"/>
              <w:pageBreakBefore w:val="0"/>
              <w:widowControl w:val="0"/>
              <w:kinsoku/>
              <w:wordWrap/>
              <w:overflowPunct/>
              <w:topLinePunct w:val="0"/>
              <w:autoSpaceDE/>
              <w:autoSpaceDN/>
              <w:bidi w:val="0"/>
              <w:adjustRightInd/>
              <w:snapToGrid w:val="0"/>
              <w:spacing w:line="460" w:lineRule="exact"/>
              <w:ind w:left="2401" w:right="73" w:rightChars="35" w:hanging="2100" w:hangingChars="1000"/>
              <w:contextualSpacing/>
              <w:jc w:val="left"/>
              <w:textAlignment w:val="auto"/>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b w:val="0"/>
                <w:bCs/>
                <w:color w:val="FF0000"/>
                <w:sz w:val="21"/>
                <w:szCs w:val="21"/>
                <w:lang w:val="en-US" w:eastAsia="zh-CN"/>
              </w:rPr>
              <w:t>3</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【尊享住宿】</w:t>
            </w:r>
            <w:r>
              <w:rPr>
                <w:rFonts w:hint="eastAsia" w:ascii="微软雅黑" w:hAnsi="微软雅黑" w:eastAsia="微软雅黑" w:cs="微软雅黑"/>
                <w:b w:val="0"/>
                <w:bCs/>
                <w:color w:val="000000" w:themeColor="text1"/>
                <w:sz w:val="21"/>
                <w:szCs w:val="21"/>
                <w14:textFill>
                  <w14:solidFill>
                    <w14:schemeClr w14:val="tx1"/>
                  </w14:solidFill>
                </w14:textFill>
              </w:rPr>
              <w:t>：</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4晚当地豪华</w:t>
            </w:r>
            <w:r>
              <w:rPr>
                <w:rFonts w:hint="eastAsia" w:ascii="微软雅黑" w:hAnsi="微软雅黑" w:eastAsia="微软雅黑" w:cs="微软雅黑"/>
                <w:b w:val="0"/>
                <w:bCs/>
                <w:color w:val="auto"/>
                <w:sz w:val="21"/>
                <w:szCs w:val="21"/>
                <w:lang w:eastAsia="zh-CN"/>
              </w:rPr>
              <w:t>舒适酒店</w:t>
            </w:r>
            <w:r>
              <w:rPr>
                <w:rFonts w:hint="eastAsia" w:ascii="微软雅黑" w:hAnsi="微软雅黑" w:eastAsia="微软雅黑" w:cs="微软雅黑"/>
                <w:b w:val="0"/>
                <w:bCs/>
                <w:color w:val="auto"/>
                <w:sz w:val="21"/>
                <w:szCs w:val="21"/>
                <w:lang w:val="en-US" w:eastAsia="zh-CN"/>
              </w:rPr>
              <w:t>+1晚凤凰当地特色客栈</w:t>
            </w:r>
          </w:p>
          <w:p w14:paraId="22947DEA">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4</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【品质保证】</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：白</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天无</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自费</w:t>
            </w:r>
            <w:r>
              <w:rPr>
                <w:rFonts w:hint="eastAsia" w:ascii="微软雅黑" w:hAnsi="微软雅黑" w:eastAsia="微软雅黑" w:cs="微软雅黑"/>
                <w:b w:val="0"/>
                <w:bCs/>
                <w:color w:val="000000" w:themeColor="text1"/>
                <w:sz w:val="21"/>
                <w:szCs w:val="21"/>
                <w14:textFill>
                  <w14:solidFill>
                    <w14:schemeClr w14:val="tx1"/>
                  </w14:solidFill>
                </w14:textFill>
              </w:rPr>
              <w:t>，景区大小交通全含，游览时间更放松，更自由</w:t>
            </w:r>
          </w:p>
          <w:p w14:paraId="20647066">
            <w:pPr>
              <w:pStyle w:val="28"/>
              <w:keepNext w:val="0"/>
              <w:keepLines w:val="0"/>
              <w:pageBreakBefore w:val="0"/>
              <w:widowControl w:val="0"/>
              <w:kinsoku/>
              <w:wordWrap/>
              <w:overflowPunct/>
              <w:topLinePunct w:val="0"/>
              <w:autoSpaceDE/>
              <w:autoSpaceDN/>
              <w:bidi w:val="0"/>
              <w:adjustRightInd/>
              <w:spacing w:before="91" w:line="320" w:lineRule="exact"/>
              <w:textAlignment w:val="auto"/>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5</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【豪华座驾】</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全程豪华正规旅游大巴（车辆大小由旅行社根据游客人数调整,保证每人每座）</w:t>
            </w:r>
          </w:p>
          <w:p w14:paraId="7F8A2ED3">
            <w:pPr>
              <w:pStyle w:val="27"/>
              <w:keepNext w:val="0"/>
              <w:keepLines w:val="0"/>
              <w:pageBreakBefore w:val="0"/>
              <w:widowControl w:val="0"/>
              <w:kinsoku/>
              <w:wordWrap/>
              <w:overflowPunct/>
              <w:topLinePunct w:val="0"/>
              <w:autoSpaceDE/>
              <w:autoSpaceDN/>
              <w:bidi w:val="0"/>
              <w:adjustRightInd/>
              <w:snapToGrid w:val="0"/>
              <w:spacing w:line="320" w:lineRule="exact"/>
              <w:ind w:left="1890" w:leftChars="0" w:hanging="1890" w:hangingChars="900"/>
              <w:contextualSpacing/>
              <w:jc w:val="left"/>
              <w:textAlignment w:val="auto"/>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6：</w:t>
            </w:r>
            <w:r>
              <w:rPr>
                <w:rFonts w:hint="eastAsia" w:ascii="微软雅黑" w:hAnsi="微软雅黑" w:eastAsia="微软雅黑" w:cs="微软雅黑"/>
                <w:b w:val="0"/>
                <w:bCs/>
                <w:color w:val="FF0000"/>
                <w:sz w:val="21"/>
                <w:szCs w:val="21"/>
                <w:lang w:eastAsia="zh-CN"/>
              </w:rPr>
              <w:t>【购物安排】</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：全程</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1个当地特产超市，</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无强制购物，轻松旅行，放松购物</w:t>
            </w:r>
          </w:p>
          <w:p w14:paraId="157C4004">
            <w:pPr>
              <w:keepNext w:val="0"/>
              <w:keepLines w:val="0"/>
              <w:pageBreakBefore w:val="0"/>
              <w:widowControl w:val="0"/>
              <w:kinsoku/>
              <w:wordWrap/>
              <w:overflowPunct/>
              <w:topLinePunct w:val="0"/>
              <w:autoSpaceDE/>
              <w:autoSpaceDN/>
              <w:bidi w:val="0"/>
              <w:adjustRightInd/>
              <w:spacing w:line="320" w:lineRule="exact"/>
              <w:ind w:right="63"/>
              <w:textAlignment w:val="auto"/>
              <w:rPr>
                <w:rFonts w:hint="eastAsia" w:ascii="微软雅黑" w:hAnsi="微软雅黑" w:eastAsia="微软雅黑"/>
                <w:b w:val="0"/>
                <w:bCs w:val="0"/>
                <w:color w:val="C00000"/>
                <w:szCs w:val="21"/>
              </w:rPr>
            </w:pPr>
            <w:r>
              <w:rPr>
                <w:rFonts w:hint="eastAsia" w:ascii="微软雅黑" w:hAnsi="微软雅黑" w:eastAsia="微软雅黑" w:cs="微软雅黑"/>
                <w:b w:val="0"/>
                <w:bCs/>
                <w:color w:val="FF0000"/>
                <w:sz w:val="21"/>
                <w:szCs w:val="21"/>
                <w:lang w:val="en-US" w:eastAsia="zh-CN"/>
              </w:rPr>
              <w:t>7：【舌尖美食】</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b w:val="0"/>
                <w:bCs w:val="0"/>
                <w:color w:val="FF0000"/>
                <w:szCs w:val="21"/>
              </w:rPr>
              <w:t>《土家三下锅》</w:t>
            </w:r>
            <w:r>
              <w:rPr>
                <w:rFonts w:hint="eastAsia" w:ascii="微软雅黑" w:hAnsi="微软雅黑" w:eastAsia="微软雅黑"/>
                <w:b w:val="0"/>
                <w:bCs w:val="0"/>
                <w:color w:val="auto"/>
                <w:szCs w:val="21"/>
              </w:rPr>
              <w:t>※</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FF0000"/>
                <w:szCs w:val="21"/>
                <w:lang w:val="en-US" w:eastAsia="zh-CN"/>
              </w:rPr>
              <w:t>长龙宴</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auto"/>
                <w:szCs w:val="21"/>
              </w:rPr>
              <w:t>※</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FF0000"/>
                <w:szCs w:val="21"/>
                <w:lang w:val="en-US" w:eastAsia="zh-CN"/>
              </w:rPr>
              <w:t>高山流水</w:t>
            </w:r>
            <w:r>
              <w:rPr>
                <w:rFonts w:hint="eastAsia" w:ascii="微软雅黑" w:hAnsi="微软雅黑" w:eastAsia="微软雅黑"/>
                <w:b w:val="0"/>
                <w:bCs w:val="0"/>
                <w:color w:val="FF0000"/>
                <w:szCs w:val="21"/>
              </w:rPr>
              <w:t>》</w:t>
            </w:r>
          </w:p>
          <w:p w14:paraId="29275AC1">
            <w:pPr>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26" name="图片 26"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a3da06e6d18c9504b540207e7550d4"/>
                          <pic:cNvPicPr>
                            <a:picLocks noChangeAspect="1"/>
                          </pic:cNvPicPr>
                        </pic:nvPicPr>
                        <pic:blipFill>
                          <a:blip r:embed="rId17"/>
                          <a:stretch>
                            <a:fillRect/>
                          </a:stretch>
                        </pic:blipFill>
                        <pic:spPr>
                          <a:xfrm>
                            <a:off x="0" y="0"/>
                            <a:ext cx="7306945" cy="1004570"/>
                          </a:xfrm>
                          <a:prstGeom prst="rect">
                            <a:avLst/>
                          </a:prstGeom>
                        </pic:spPr>
                      </pic:pic>
                    </a:graphicData>
                  </a:graphic>
                </wp:inline>
              </w:drawing>
            </w:r>
          </w:p>
        </w:tc>
      </w:tr>
      <w:tr w14:paraId="06E817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3C0CAE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A2F5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7B098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448104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E8CB9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56FE11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CF114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rPr>
              <w:t>出发地</w:t>
            </w:r>
            <w:r>
              <w:rPr>
                <w:rFonts w:hint="eastAsia" w:ascii="宋体" w:hAnsi="宋体" w:eastAsia="宋体" w:cs="宋体"/>
                <w:b/>
                <w:bCs/>
                <w:sz w:val="24"/>
                <w:lang w:val="en-US" w:eastAsia="zh-CN"/>
              </w:rPr>
              <w:sym w:font="Wingdings" w:char="00D8"/>
            </w:r>
            <w:r>
              <w:rPr>
                <w:rFonts w:hint="eastAsia" w:ascii="宋体" w:hAnsi="宋体" w:eastAsia="宋体" w:cs="宋体"/>
                <w:b/>
                <w:bCs/>
                <w:sz w:val="24"/>
                <w:lang w:val="en-US" w:eastAsia="zh-CN"/>
              </w:rPr>
              <w:t>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8A08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FA4E8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466C8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6DD91E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w:t>
            </w:r>
          </w:p>
        </w:tc>
      </w:tr>
      <w:tr w14:paraId="2E4B21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8BBE1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33188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eastAsia="zh-CN"/>
              </w:rPr>
              <w:t>武昌</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荆州古城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宜昌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7FFC7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1768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57443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61C655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0C88A0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BD12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1D4D2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eastAsia="zh-CN"/>
              </w:rPr>
              <w:t>长江两坝一峡</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西陵峡</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三级船闸体验水涨船</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地心谷</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女儿城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DA422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488D3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5EA037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2A0F8C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eastAsia="zh-CN"/>
              </w:rPr>
              <w:t>恩施</w:t>
            </w:r>
          </w:p>
        </w:tc>
      </w:tr>
      <w:tr w14:paraId="0B15C3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483D7A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4AF52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eastAsia="zh-CN"/>
              </w:rPr>
              <w:t>酉阳桃花源</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叠石花谷</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边城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赴凤凰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29A00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56C12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057471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1749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凤凰</w:t>
            </w:r>
          </w:p>
        </w:tc>
      </w:tr>
      <w:tr w14:paraId="4E234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4551D1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27988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val="en-US" w:eastAsia="zh-CN"/>
              </w:rPr>
              <w:t>凤凰古城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苗寨</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天门山</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29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1A244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C592D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534F38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362DB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824B2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FB4C6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val="en-US" w:eastAsia="zh-CN"/>
              </w:rPr>
              <w:t>超市</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土司城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武陵源</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85592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B2BE3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07EFC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2EAEC8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B3A97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3920AD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D7</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262F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val="en-US" w:eastAsia="zh-CN"/>
              </w:rPr>
              <w:t>杜心武</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赴武汉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30186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CD217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4DF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41A555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武汉</w:t>
            </w:r>
          </w:p>
        </w:tc>
      </w:tr>
      <w:tr w14:paraId="31B077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CF7B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56859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lang w:val="en-US" w:eastAsia="zh-CN"/>
              </w:rPr>
            </w:pPr>
            <w:r>
              <w:rPr>
                <w:rFonts w:hint="eastAsia" w:ascii="宋体" w:hAnsi="宋体" w:eastAsia="宋体" w:cs="宋体"/>
                <w:b/>
                <w:bCs/>
                <w:sz w:val="24"/>
                <w:lang w:val="en-US" w:eastAsia="zh-CN"/>
              </w:rPr>
              <w:t>武汉</w:t>
            </w:r>
            <w:r>
              <w:rPr>
                <w:rFonts w:hint="eastAsia" w:ascii="宋体" w:hAnsi="宋体" w:eastAsia="宋体" w:cs="宋体"/>
                <w:b/>
                <w:bCs/>
                <w:sz w:val="24"/>
                <w:lang w:val="en-US" w:eastAsia="zh-CN"/>
              </w:rPr>
              <w:sym w:font="Wingdings" w:char="00D8"/>
            </w:r>
            <w:r>
              <w:rPr>
                <w:rFonts w:hint="eastAsia" w:ascii="微软雅黑" w:hAnsi="微软雅黑" w:eastAsia="微软雅黑" w:cs="微软雅黑"/>
                <w:b/>
                <w:sz w:val="21"/>
                <w:szCs w:val="21"/>
              </w:rPr>
              <w:t>出发地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3FF59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27B15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0C99F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7681C115">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3822B0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55C909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953D4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3"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9119E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-武昌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用餐/自理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住宿/火车上</w:t>
            </w:r>
            <w:r>
              <w:rPr>
                <w:rFonts w:hint="eastAsia" w:ascii="微软雅黑" w:hAnsi="微软雅黑" w:eastAsia="微软雅黑" w:cs="微软雅黑"/>
                <w:b/>
                <w:bCs/>
                <w:color w:val="FFFFFF"/>
                <w:sz w:val="24"/>
                <w:lang w:eastAsia="zh-CN"/>
              </w:rPr>
              <w:t>或武汉</w:t>
            </w:r>
          </w:p>
        </w:tc>
      </w:tr>
      <w:tr w14:paraId="5B4098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0B5610F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ascii="微软雅黑" w:hAnsi="微软雅黑" w:eastAsia="微软雅黑" w:cs="微软雅黑"/>
              </w:rPr>
            </w:pPr>
            <w:r>
              <w:rPr>
                <w:rFonts w:hint="eastAsia" w:ascii="微软雅黑" w:hAnsi="微软雅黑" w:eastAsia="微软雅黑" w:cs="微软雅黑"/>
                <w:kern w:val="2"/>
                <w:sz w:val="21"/>
                <w:szCs w:val="21"/>
                <w:lang w:val="en-US" w:eastAsia="zh-CN" w:bidi="ar-SA"/>
              </w:rPr>
              <w:t>以山水之名，开启一段美妙旅程！根据出发时间乘火车（卧铺/动车/飞机）抵达汉口/武昌，在列车上欣赏祖国的大好河山！(具体车次和时间以实际出团通知为准)。</w:t>
            </w:r>
          </w:p>
        </w:tc>
      </w:tr>
      <w:tr w14:paraId="2FC4C3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19C2BA82">
            <w:pPr>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武汉一</w:t>
            </w:r>
            <w:r>
              <w:rPr>
                <w:rFonts w:hint="eastAsia" w:ascii="微软雅黑" w:hAnsi="微软雅黑" w:eastAsia="微软雅黑" w:cs="微软雅黑"/>
                <w:b/>
                <w:bCs/>
                <w:color w:val="FFFFFF"/>
                <w:sz w:val="28"/>
                <w:szCs w:val="28"/>
                <w:lang w:val="en-US" w:eastAsia="zh-CN"/>
              </w:rPr>
              <w:t>东湖-户部巷-荆州古城</w:t>
            </w:r>
            <w:r>
              <w:rPr>
                <w:rFonts w:hint="eastAsia" w:ascii="微软雅黑" w:hAnsi="微软雅黑" w:eastAsia="微软雅黑" w:cs="微软雅黑"/>
                <w:b/>
                <w:bCs/>
                <w:color w:val="FFFFFF"/>
                <w:sz w:val="28"/>
                <w:szCs w:val="28"/>
                <w:lang w:eastAsia="zh-CN"/>
              </w:rPr>
              <w:t xml:space="preserve">一宜昌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早</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3D5C77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78" w:hRule="atLeast"/>
        </w:trPr>
        <w:tc>
          <w:tcPr>
            <w:tcW w:w="11661" w:type="dxa"/>
            <w:gridSpan w:val="6"/>
            <w:tcBorders>
              <w:top w:val="single" w:color="auto" w:sz="4" w:space="0"/>
              <w:left w:val="single" w:color="auto" w:sz="4" w:space="0"/>
              <w:bottom w:val="single" w:color="auto" w:sz="4" w:space="0"/>
              <w:right w:val="single" w:color="auto" w:sz="4" w:space="0"/>
            </w:tcBorders>
          </w:tcPr>
          <w:p w14:paraId="0AD8B9BF">
            <w:pPr>
              <w:keepNext w:val="0"/>
              <w:keepLines w:val="0"/>
              <w:suppressLineNumbers w:val="0"/>
              <w:spacing w:before="0" w:beforeAutospacing="0" w:after="0" w:afterAutospacing="0" w:line="400" w:lineRule="exact"/>
              <w:ind w:left="0" w:right="-115" w:rightChars="-55"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早上参观</w:t>
            </w:r>
            <w:r>
              <w:rPr>
                <w:rFonts w:hint="eastAsia" w:ascii="微软雅黑" w:hAnsi="微软雅黑" w:eastAsia="微软雅黑" w:cs="微软雅黑"/>
                <w:b w:val="0"/>
                <w:bCs w:val="0"/>
                <w:color w:val="FF0000"/>
                <w:spacing w:val="-1"/>
                <w:kern w:val="2"/>
                <w:sz w:val="21"/>
                <w:szCs w:val="21"/>
                <w:lang w:val="en-US" w:eastAsia="zh-CN" w:bidi="ar"/>
              </w:rPr>
              <w:t>【东湖听涛景区】</w:t>
            </w:r>
            <w:r>
              <w:rPr>
                <w:rFonts w:hint="eastAsia" w:ascii="微软雅黑" w:hAnsi="微软雅黑" w:eastAsia="微软雅黑" w:cs="微软雅黑"/>
                <w:b w:val="0"/>
                <w:bCs w:val="0"/>
                <w:sz w:val="21"/>
                <w:szCs w:val="21"/>
              </w:rPr>
              <w:t>。</w:t>
            </w:r>
            <w:r>
              <w:rPr>
                <w:rFonts w:hint="eastAsia" w:ascii="微软雅黑" w:hAnsi="微软雅黑" w:eastAsia="微软雅黑" w:cs="微软雅黑"/>
                <w:sz w:val="21"/>
                <w:szCs w:val="21"/>
              </w:rPr>
              <w:t>东湖生态旅游风景区面积88平方公里，由听涛、磨山、落雁、吹笛、白马和珞洪6个片区组成。</w:t>
            </w:r>
            <w:r>
              <w:rPr>
                <w:rFonts w:hint="eastAsia" w:ascii="微软雅黑" w:hAnsi="微软雅黑" w:eastAsia="微软雅黑" w:cs="微软雅黑"/>
                <w:b w:val="0"/>
                <w:bCs w:val="0"/>
                <w:color w:val="FF0000"/>
                <w:spacing w:val="-1"/>
                <w:kern w:val="2"/>
                <w:sz w:val="21"/>
                <w:szCs w:val="21"/>
                <w:lang w:val="en-US" w:eastAsia="zh-CN" w:bidi="ar"/>
              </w:rPr>
              <w:t>【</w:t>
            </w:r>
            <w:r>
              <w:rPr>
                <w:rFonts w:hint="eastAsia" w:ascii="微软雅黑" w:hAnsi="微软雅黑" w:eastAsia="微软雅黑" w:cs="微软雅黑"/>
                <w:color w:val="FF0000"/>
                <w:sz w:val="21"/>
                <w:szCs w:val="21"/>
              </w:rPr>
              <w:t>户部巷</w:t>
            </w:r>
            <w:r>
              <w:rPr>
                <w:rFonts w:hint="eastAsia" w:ascii="微软雅黑" w:hAnsi="微软雅黑" w:eastAsia="微软雅黑" w:cs="微软雅黑"/>
                <w:b w:val="0"/>
                <w:bCs w:val="0"/>
                <w:color w:val="FF0000"/>
                <w:spacing w:val="-1"/>
                <w:kern w:val="2"/>
                <w:sz w:val="21"/>
                <w:szCs w:val="21"/>
                <w:lang w:val="en-US" w:eastAsia="zh-CN" w:bidi="ar"/>
              </w:rPr>
              <w:t>】</w:t>
            </w:r>
            <w:r>
              <w:rPr>
                <w:rFonts w:hint="eastAsia" w:ascii="微软雅黑" w:hAnsi="微软雅黑" w:eastAsia="微软雅黑" w:cs="微软雅黑"/>
                <w:sz w:val="21"/>
                <w:szCs w:val="21"/>
              </w:rPr>
              <w:t>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"https://baike.so.com/doc/5538936-5755584.html"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中国历史文化名城</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湖北省武汉市，是一条长150米的百年老巷，被誉为"汉味小吃第一巷"，其繁华的早点摊群数十年经久不衰。户部巷位于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"https://baike.so.com/doc/500745-530234.html"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武昌</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最繁华的司门口，东靠</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"https://baike.so.com/doc/6308899-6522486.html"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十里长街</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"https://baike.so.com/doc/5902406-10465117.html"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解放路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)，西临浩瀚长江，南枕"天下江山第一楼"--黄鹤楼，北接</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"https://baike.so.com/doc/325939-345257.html"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都府堤</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红色景区 ，是一处由名街名楼名景名江环绕而成的美食天堂</w:t>
            </w:r>
            <w:r>
              <w:rPr>
                <w:rFonts w:hint="eastAsia" w:ascii="微软雅黑" w:hAnsi="微软雅黑" w:eastAsia="微软雅黑" w:cs="微软雅黑"/>
                <w:sz w:val="21"/>
                <w:szCs w:val="21"/>
                <w:lang w:val="en-US" w:eastAsia="zh-CN"/>
              </w:rPr>
              <w:t>。</w:t>
            </w:r>
          </w:p>
          <w:p w14:paraId="256CAB2F">
            <w:pPr>
              <w:keepNext w:val="0"/>
              <w:keepLines w:val="0"/>
              <w:suppressLineNumbers w:val="0"/>
              <w:spacing w:before="0" w:beforeAutospacing="0" w:after="0" w:afterAutospacing="0" w:line="400" w:lineRule="exact"/>
              <w:ind w:left="0" w:right="-115" w:rightChars="-55" w:firstLine="420" w:firstLineChars="200"/>
            </w:pPr>
            <w:r>
              <w:rPr>
                <w:rFonts w:hint="eastAsia" w:ascii="微软雅黑" w:hAnsi="微软雅黑" w:eastAsia="微软雅黑" w:cs="微软雅黑"/>
                <w:sz w:val="21"/>
                <w:szCs w:val="21"/>
                <w:lang w:val="en-US" w:eastAsia="zh-CN"/>
              </w:rPr>
              <w:t>中午12点左右集合出发，</w:t>
            </w:r>
            <w:r>
              <w:rPr>
                <w:rFonts w:hint="eastAsia" w:ascii="微软雅黑" w:hAnsi="微软雅黑" w:eastAsia="微软雅黑" w:cs="微软雅黑"/>
                <w:sz w:val="21"/>
                <w:szCs w:val="21"/>
              </w:rPr>
              <w:t>乘车</w:t>
            </w:r>
            <w:r>
              <w:rPr>
                <w:rFonts w:hint="eastAsia" w:ascii="微软雅黑" w:hAnsi="微软雅黑" w:eastAsia="微软雅黑" w:cs="微软雅黑"/>
                <w:sz w:val="21"/>
                <w:szCs w:val="21"/>
                <w:lang w:val="en-US" w:eastAsia="zh-CN"/>
              </w:rPr>
              <w:t>约3小时，</w:t>
            </w:r>
            <w:r>
              <w:rPr>
                <w:rFonts w:hint="eastAsia" w:ascii="微软雅黑" w:hAnsi="微软雅黑" w:eastAsia="微软雅黑" w:cs="微软雅黑"/>
                <w:spacing w:val="-1"/>
                <w:kern w:val="2"/>
                <w:sz w:val="21"/>
                <w:szCs w:val="21"/>
                <w:lang w:val="en-US" w:eastAsia="zh-CN" w:bidi="ar"/>
              </w:rPr>
              <w:t>游览荆州古城 AAAA 级景区-参观我国由土城发展演变而来的古城垣---</w:t>
            </w:r>
            <w:r>
              <w:rPr>
                <w:rFonts w:hint="eastAsia" w:ascii="微软雅黑" w:hAnsi="微软雅黑" w:eastAsia="微软雅黑" w:cs="微软雅黑"/>
                <w:b w:val="0"/>
                <w:bCs w:val="0"/>
                <w:color w:val="FF0000"/>
                <w:spacing w:val="-1"/>
                <w:kern w:val="2"/>
                <w:sz w:val="21"/>
                <w:szCs w:val="21"/>
                <w:lang w:val="en-US" w:eastAsia="zh-CN" w:bidi="ar"/>
              </w:rPr>
              <w:t>【荆州古城】</w:t>
            </w:r>
            <w:r>
              <w:rPr>
                <w:rFonts w:hint="eastAsia" w:ascii="微软雅黑" w:hAnsi="微软雅黑" w:eastAsia="微软雅黑" w:cs="微软雅黑"/>
                <w:spacing w:val="-1"/>
                <w:kern w:val="2"/>
                <w:sz w:val="21"/>
                <w:szCs w:val="21"/>
                <w:lang w:val="en-US" w:eastAsia="zh-CN" w:bidi="ar"/>
              </w:rPr>
              <w:t>（不上城墙，拍照时间不少于 20 分钟）又名江陵城，是中国历史文化名城之一。有保存较完好的荆州古城墙，城内东西直径 3.75 公里， 南北直径 1.2 公里，面积 4.5 平方公里，城墙周长 10.5 公里，高 8.83 米，共六座城门，每座 城门上均建有城楼。荆州古城墙始建于春秋战国时期，曾是楚国的官船码头和渚宫，后成为江陵县治所，出现了最初城廓。后乘车</w:t>
            </w:r>
            <w:r>
              <w:rPr>
                <w:rFonts w:hint="eastAsia" w:ascii="微软雅黑" w:hAnsi="微软雅黑" w:eastAsia="微软雅黑" w:cs="微软雅黑"/>
                <w:sz w:val="21"/>
                <w:szCs w:val="21"/>
              </w:rPr>
              <w:t>至宜昌，入住酒店</w:t>
            </w:r>
            <w:r>
              <w:rPr>
                <w:rFonts w:hint="eastAsia" w:ascii="微软雅黑" w:hAnsi="微软雅黑" w:eastAsia="微软雅黑" w:cs="微软雅黑"/>
                <w:sz w:val="21"/>
                <w:szCs w:val="21"/>
                <w:lang w:eastAsia="zh-CN"/>
              </w:rPr>
              <w:t>！</w:t>
            </w:r>
          </w:p>
        </w:tc>
      </w:tr>
      <w:tr w14:paraId="30B939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4387DB5">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宜昌—长江两坝一峡—地心谷—女儿城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eastAsia="zh-CN"/>
              </w:rPr>
              <w:t>恩施</w:t>
            </w:r>
          </w:p>
        </w:tc>
      </w:tr>
      <w:tr w14:paraId="35D512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6"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6108A3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导游接团07:30分准时出发，宜昌三斗坪码头上船，乘长江号（四星）豪华游轮，游览举世闻名的国家AAAAA</w:t>
            </w:r>
            <w:r>
              <w:rPr>
                <w:rFonts w:hint="eastAsia" w:ascii="微软雅黑" w:hAnsi="微软雅黑" w:eastAsia="微软雅黑" w:cs="微软雅黑"/>
                <w:color w:val="FF0000"/>
                <w:sz w:val="21"/>
                <w:szCs w:val="21"/>
                <w:lang w:eastAsia="zh-CN"/>
              </w:rPr>
              <w:t>【长江三峡】</w:t>
            </w:r>
            <w:r>
              <w:rPr>
                <w:rFonts w:hint="eastAsia" w:ascii="微软雅黑" w:hAnsi="微软雅黑" w:eastAsia="微软雅黑" w:cs="微软雅黑"/>
                <w:sz w:val="21"/>
                <w:szCs w:val="21"/>
                <w:lang w:eastAsia="zh-CN"/>
              </w:rPr>
              <w:t>，船过葛洲坝升降船闸，让您亲自体验水涨船高/水降船低的原理、感受葛洲坝工程的伟大；观</w:t>
            </w:r>
            <w:r>
              <w:rPr>
                <w:rFonts w:hint="eastAsia" w:ascii="微软雅黑" w:hAnsi="微软雅黑" w:eastAsia="微软雅黑" w:cs="微软雅黑"/>
                <w:color w:val="FF0000"/>
                <w:sz w:val="21"/>
                <w:szCs w:val="21"/>
                <w:lang w:eastAsia="zh-CN"/>
              </w:rPr>
              <w:t>【葛洲坝水利枢纽工程全貌】（</w:t>
            </w:r>
            <w:r>
              <w:rPr>
                <w:rFonts w:hint="eastAsia" w:ascii="微软雅黑" w:hAnsi="微软雅黑" w:eastAsia="微软雅黑" w:cs="微软雅黑"/>
                <w:color w:val="FF0000"/>
                <w:sz w:val="21"/>
                <w:szCs w:val="21"/>
                <w:lang w:val="en-US" w:eastAsia="zh-CN"/>
              </w:rPr>
              <w:t>自理</w:t>
            </w:r>
            <w:r>
              <w:rPr>
                <w:rFonts w:hint="eastAsia" w:ascii="微软雅黑" w:hAnsi="微软雅黑" w:eastAsia="微软雅黑" w:cs="微软雅黑"/>
                <w:color w:val="FF0000"/>
                <w:sz w:val="21"/>
                <w:szCs w:val="21"/>
                <w:lang w:eastAsia="zh-CN"/>
              </w:rPr>
              <w:t>长江号游轮船票99元/人</w:t>
            </w:r>
            <w:r>
              <w:rPr>
                <w:rFonts w:hint="eastAsia" w:ascii="微软雅黑" w:hAnsi="微软雅黑" w:eastAsia="微软雅黑" w:cs="微软雅黑"/>
                <w:color w:val="FF0000"/>
                <w:sz w:val="21"/>
                <w:szCs w:val="21"/>
                <w:lang w:val="en-US" w:eastAsia="zh-CN"/>
              </w:rPr>
              <w:t>景交已含</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lang w:eastAsia="zh-CN"/>
              </w:rPr>
              <w:t>，尽揽世界顶级旅游风景区长江三峡精华段核心区---</w:t>
            </w:r>
            <w:r>
              <w:rPr>
                <w:rFonts w:hint="eastAsia" w:ascii="微软雅黑" w:hAnsi="微软雅黑" w:eastAsia="微软雅黑" w:cs="微软雅黑"/>
                <w:color w:val="FF0000"/>
                <w:sz w:val="21"/>
                <w:szCs w:val="21"/>
                <w:lang w:eastAsia="zh-CN"/>
              </w:rPr>
              <w:t>【西陵峡原始峡谷风光】</w:t>
            </w:r>
            <w:r>
              <w:rPr>
                <w:rFonts w:hint="eastAsia" w:ascii="微软雅黑" w:hAnsi="微软雅黑" w:eastAsia="微软雅黑" w:cs="微软雅黑"/>
                <w:sz w:val="21"/>
                <w:szCs w:val="21"/>
                <w:lang w:eastAsia="zh-CN"/>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途径</w:t>
            </w:r>
            <w:r>
              <w:rPr>
                <w:rFonts w:hint="eastAsia" w:ascii="微软雅黑" w:hAnsi="微软雅黑" w:eastAsia="微软雅黑" w:cs="微软雅黑"/>
                <w:color w:val="FF0000"/>
                <w:sz w:val="21"/>
                <w:szCs w:val="21"/>
                <w:lang w:eastAsia="zh-CN"/>
              </w:rPr>
              <w:t>【四渡河大桥】</w:t>
            </w:r>
            <w:r>
              <w:rPr>
                <w:rFonts w:hint="eastAsia" w:ascii="微软雅黑" w:hAnsi="微软雅黑" w:eastAsia="微软雅黑" w:cs="微软雅黑"/>
                <w:sz w:val="21"/>
                <w:szCs w:val="21"/>
                <w:lang w:eastAsia="zh-CN"/>
              </w:rPr>
              <w:t>，四渡河大桥是国内首座山区特大悬索桥，桥梁跨越四渡河峡谷，桥面行车道与峡谷谷底高差达560m,比目前世界高桥法国米约大桥还要高290米，借助火箭弹发射先导索过峡谷，开创了国内乃至世界建桥史上的先河。赴</w:t>
            </w:r>
            <w:r>
              <w:rPr>
                <w:rFonts w:hint="eastAsia" w:ascii="微软雅黑" w:hAnsi="微软雅黑" w:eastAsia="微软雅黑" w:cs="微软雅黑"/>
                <w:color w:val="FF0000"/>
                <w:sz w:val="21"/>
                <w:szCs w:val="21"/>
                <w:lang w:eastAsia="zh-CN"/>
              </w:rPr>
              <w:t>【恩施地心大峡谷】</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FF0000"/>
                <w:sz w:val="21"/>
                <w:szCs w:val="21"/>
                <w:lang w:eastAsia="zh-CN"/>
              </w:rPr>
              <w:t>恩施地心大峡谷环保车 30 元/人</w:t>
            </w:r>
            <w:r>
              <w:rPr>
                <w:rFonts w:hint="eastAsia" w:ascii="微软雅黑" w:hAnsi="微软雅黑" w:eastAsia="微软雅黑" w:cs="微软雅黑"/>
                <w:color w:val="FF0000"/>
                <w:sz w:val="21"/>
                <w:szCs w:val="21"/>
                <w:lang w:val="en-US" w:eastAsia="zh-CN"/>
              </w:rPr>
              <w:t>景交套餐已含</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lang w:eastAsia="zh-CN"/>
              </w:rPr>
              <w:t xml:space="preserve"> 当神奇的北纬 30°纬线 ，穿越湖北时 ，在恩施缔造了一个奇观绝景的仙境之----恩施石门河地心大峡谷。独特的喀斯特岩溶嶂谷地质环境，使这里有世界罕见的最美高山喀斯特岩溶嶂谷景观；“这里是举世闻名的人类起源地科普教育基地”。景区拥有世界最奇特的旅游资源，景区集山、水、道、洞、情于一体。石门河景区享有“世界第一古人 ，中国第一古河 ，巴楚第一古道，施南第一佳要的美誉，游览恩施</w:t>
            </w:r>
            <w:r>
              <w:rPr>
                <w:rFonts w:hint="eastAsia" w:ascii="微软雅黑" w:hAnsi="微软雅黑" w:eastAsia="微软雅黑" w:cs="微软雅黑"/>
                <w:color w:val="FF0000"/>
                <w:sz w:val="21"/>
                <w:szCs w:val="21"/>
                <w:lang w:eastAsia="zh-CN"/>
              </w:rPr>
              <w:t>【女儿城】</w:t>
            </w:r>
            <w:r>
              <w:rPr>
                <w:rFonts w:hint="eastAsia" w:ascii="微软雅黑" w:hAnsi="微软雅黑" w:eastAsia="微软雅黑" w:cs="微软雅黑"/>
                <w:sz w:val="21"/>
                <w:szCs w:val="21"/>
                <w:lang w:eastAsia="zh-CN"/>
              </w:rPr>
              <w:t>，世间男子不二心，天下女儿第一城!土家女儿城合理且精心的谋划了整体建筑风格，仿古与土家吊脚楼相结合，完美的体现了土家族的民风民俗。</w:t>
            </w:r>
          </w:p>
          <w:p w14:paraId="5872B168">
            <w:pPr>
              <w:keepNext w:val="0"/>
              <w:keepLines w:val="0"/>
              <w:suppressLineNumbers w:val="0"/>
              <w:spacing w:before="0" w:beforeAutospacing="0" w:after="0" w:afterAutospacing="0" w:line="480" w:lineRule="exact"/>
              <w:ind w:left="0" w:right="-34" w:rightChars="-16"/>
              <w:rPr>
                <w:rFonts w:hint="eastAsia" w:ascii="微软雅黑" w:hAnsi="微软雅黑" w:eastAsia="微软雅黑" w:cs="微软雅黑"/>
                <w:color w:val="000000"/>
                <w:sz w:val="21"/>
                <w:szCs w:val="21"/>
              </w:rPr>
            </w:pPr>
            <w:r>
              <w:rPr>
                <w:rFonts w:hint="eastAsia" w:ascii="微软雅黑" w:hAnsi="微软雅黑" w:eastAsia="微软雅黑" w:cs="微软雅黑"/>
                <w:b w:val="0"/>
                <w:bCs w:val="0"/>
                <w:color w:val="FF0000"/>
                <w:sz w:val="21"/>
                <w:szCs w:val="21"/>
              </w:rPr>
              <w:t>【温馨提示】</w:t>
            </w:r>
            <w:r>
              <w:rPr>
                <w:rFonts w:hint="eastAsia" w:ascii="微软雅黑" w:hAnsi="微软雅黑" w:eastAsia="微软雅黑" w:cs="微软雅黑"/>
                <w:sz w:val="21"/>
                <w:szCs w:val="21"/>
              </w:rPr>
              <w:t>：1、今日路程较长，请</w:t>
            </w:r>
            <w:r>
              <w:rPr>
                <w:rFonts w:hint="eastAsia" w:ascii="微软雅黑" w:hAnsi="微软雅黑" w:eastAsia="微软雅黑" w:cs="微软雅黑"/>
                <w:sz w:val="21"/>
                <w:szCs w:val="21"/>
                <w:lang w:val="en-US" w:eastAsia="zh-CN"/>
              </w:rPr>
              <w:t>自</w:t>
            </w:r>
            <w:r>
              <w:rPr>
                <w:rFonts w:hint="eastAsia" w:ascii="微软雅黑" w:hAnsi="微软雅黑" w:eastAsia="微软雅黑" w:cs="微软雅黑"/>
                <w:sz w:val="21"/>
                <w:szCs w:val="21"/>
              </w:rPr>
              <w:t>备一些干粮和零食，一边车上食用。</w:t>
            </w:r>
          </w:p>
        </w:tc>
      </w:tr>
      <w:tr w14:paraId="72C832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7C7A55DB">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zh-CN"/>
              </w:rPr>
              <w:t xml:space="preserve">酉阳桃花源—叠石花谷—边城—凤凰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w:t>
            </w:r>
            <w:r>
              <w:rPr>
                <w:rFonts w:hint="eastAsia" w:ascii="微软雅黑" w:hAnsi="微软雅黑" w:eastAsia="微软雅黑" w:cs="微软雅黑"/>
                <w:b/>
                <w:bCs/>
                <w:color w:val="FFFFFF"/>
                <w:sz w:val="24"/>
                <w:szCs w:val="24"/>
                <w:lang w:val="en-US" w:eastAsia="zh-CN"/>
              </w:rPr>
              <w:t>/</w:t>
            </w:r>
            <w:r>
              <w:rPr>
                <w:rFonts w:hint="eastAsia" w:ascii="微软雅黑" w:hAnsi="微软雅黑" w:eastAsia="微软雅黑" w:cs="微软雅黑"/>
                <w:b/>
                <w:bCs/>
                <w:color w:val="FFFFFF"/>
                <w:sz w:val="24"/>
                <w:szCs w:val="24"/>
                <w:lang w:eastAsia="zh-CN"/>
              </w:rPr>
              <w:t>凤凰</w:t>
            </w:r>
          </w:p>
        </w:tc>
      </w:tr>
      <w:tr w14:paraId="5D029C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207FB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早餐后随后乘车前往酉阳，</w:t>
            </w:r>
            <w:r>
              <w:rPr>
                <w:rFonts w:hint="eastAsia" w:ascii="微软雅黑" w:hAnsi="微软雅黑" w:eastAsia="微软雅黑" w:cs="微软雅黑"/>
                <w:sz w:val="21"/>
                <w:szCs w:val="21"/>
                <w:lang w:val="en-US" w:eastAsia="zh-CN"/>
              </w:rPr>
              <w:t>游览5AAAAA酉阳</w:t>
            </w:r>
            <w:r>
              <w:rPr>
                <w:rFonts w:hint="eastAsia" w:ascii="微软雅黑" w:hAnsi="微软雅黑" w:eastAsia="微软雅黑" w:cs="微软雅黑"/>
                <w:color w:val="FF0000"/>
                <w:sz w:val="21"/>
                <w:szCs w:val="21"/>
                <w:lang w:val="en-US" w:eastAsia="zh-CN"/>
              </w:rPr>
              <w:t>【桃花源风景区】</w:t>
            </w:r>
            <w:r>
              <w:rPr>
                <w:rFonts w:hint="eastAsia" w:ascii="微软雅黑" w:hAnsi="微软雅黑" w:eastAsia="微软雅黑" w:cs="微软雅黑"/>
                <w:sz w:val="21"/>
                <w:szCs w:val="21"/>
                <w:lang w:val="en-US" w:eastAsia="zh-CN"/>
              </w:rPr>
              <w:t>（游览时间不低于90分钟），感受陶渊明笔下的世外桃源。集秦晋历史文化、土家民俗文化、自然生态文化、天坑溶洞地下河共生岩溶地质奇观于 一体。是远离尘世喧嚣、步入秦晋田园、探寻科学奥秘、回归绿色天堂的绝好地方。酉阳桃花源被广泛 认为是陶渊明笔下《桃花源记》的原型地，与世隔绝，宁静和谐，隐逸悠远，身临其境确实会有“初极 狭，才通人；复行数十步，豁然开朗。”的感受，土地、屋舍、良田绘就一个安宁和乐的世界。乘车前往</w:t>
            </w:r>
            <w:r>
              <w:rPr>
                <w:rFonts w:hint="eastAsia" w:ascii="微软雅黑" w:hAnsi="微软雅黑" w:eastAsia="微软雅黑" w:cs="微软雅黑"/>
                <w:color w:val="FF0000"/>
                <w:sz w:val="21"/>
                <w:szCs w:val="21"/>
                <w:lang w:val="en-US" w:eastAsia="zh-CN"/>
              </w:rPr>
              <w:t>【叠石花谷】</w:t>
            </w:r>
            <w:r>
              <w:rPr>
                <w:rFonts w:hint="eastAsia" w:ascii="微软雅黑" w:hAnsi="微软雅黑" w:eastAsia="微软雅黑" w:cs="微软雅黑"/>
                <w:sz w:val="21"/>
                <w:szCs w:val="21"/>
                <w:lang w:val="en-US" w:eastAsia="zh-CN"/>
              </w:rPr>
              <w:t xml:space="preserve">游览（游览时间不低于 1 小时）。叠石花谷是一个集旅游、观光、休闲为一体的生态园扶贫示范景区，一抹粉色的秋日情书将在酉阳叠石花谷浪漫盛开，近千亩粉黛花海，徜徉其间，如梦似幻，勾勒出一道别样的风景线，随手一拍就是绝绝子，浪漫至极。 </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lang w:val="en-US" w:eastAsia="zh-CN"/>
              </w:rPr>
              <w:t>乘</w:t>
            </w:r>
            <w:r>
              <w:rPr>
                <w:rFonts w:hint="eastAsia" w:ascii="微软雅黑" w:hAnsi="微软雅黑" w:eastAsia="微软雅黑" w:cs="微软雅黑"/>
                <w:sz w:val="21"/>
                <w:szCs w:val="21"/>
                <w:lang w:eastAsia="zh-CN"/>
              </w:rPr>
              <w:t>车前往鸡鸣三省【重庆洪安边城】，体验拉拉渡，洪安古镇 ，位于长江上游地区、重庆东南部 ，秀山县境东南 ，距县城 47 公里 ，是重庆、贵州、湖南三省市交界之地 ， 有“渝东南门户”之称，是一脚踏三省的插花地 ，也是沈从文笔下的《边城》原型。清代名人章恺曾诗曰“蜀道  有近时 ，春风几处分;吹来黔地雨 ，卷入楚天云” ，描绘了“一脚踏三省”的地利之优。洪安古镇内古建筑群立， 其工艺、造型独特 ，土家苗寨风情别具一格。前往中国最美丽的小城—</w:t>
            </w:r>
            <w:r>
              <w:rPr>
                <w:rFonts w:hint="eastAsia" w:ascii="微软雅黑" w:hAnsi="微软雅黑" w:eastAsia="微软雅黑" w:cs="微软雅黑"/>
                <w:color w:val="FF0000"/>
                <w:sz w:val="21"/>
                <w:szCs w:val="21"/>
                <w:lang w:eastAsia="zh-CN"/>
              </w:rPr>
              <w:t>【凤凰古城】（不含门票、换乘车</w:t>
            </w:r>
            <w:r>
              <w:rPr>
                <w:rFonts w:hint="eastAsia" w:ascii="微软雅黑" w:hAnsi="微软雅黑" w:eastAsia="微软雅黑" w:cs="微软雅黑"/>
                <w:color w:val="FF0000"/>
                <w:sz w:val="21"/>
                <w:szCs w:val="21"/>
                <w:lang w:val="en-US" w:eastAsia="zh-CN"/>
              </w:rPr>
              <w:t>28元/位</w:t>
            </w:r>
            <w:r>
              <w:rPr>
                <w:rFonts w:hint="eastAsia" w:ascii="微软雅黑" w:hAnsi="微软雅黑" w:eastAsia="微软雅黑" w:cs="微软雅黑"/>
                <w:color w:val="FF0000"/>
                <w:sz w:val="21"/>
                <w:szCs w:val="21"/>
                <w:lang w:eastAsia="zh-CN"/>
              </w:rPr>
              <w:t>已含）</w:t>
            </w:r>
            <w:r>
              <w:rPr>
                <w:rFonts w:hint="eastAsia" w:ascii="微软雅黑" w:hAnsi="微软雅黑" w:eastAsia="微软雅黑" w:cs="微软雅黑"/>
                <w:sz w:val="21"/>
                <w:szCs w:val="21"/>
                <w:lang w:eastAsia="zh-CN"/>
              </w:rPr>
              <w:t>，晚上游览凤凰夜景，欣赏灯光下的中国最美小镇，自由窜街，其乐无穷... ...赶一赶边边场！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p>
          <w:p w14:paraId="3273DB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firstLine="420" w:firstLineChars="200"/>
              <w:textAlignment w:val="auto"/>
              <w:rPr>
                <w:rFonts w:hint="eastAsia" w:ascii="微软雅黑" w:hAnsi="微软雅黑" w:eastAsia="微软雅黑" w:cs="微软雅黑"/>
                <w:sz w:val="21"/>
                <w:szCs w:val="21"/>
                <w:lang w:eastAsia="zh-CN"/>
              </w:rPr>
            </w:pPr>
          </w:p>
          <w:p w14:paraId="055933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default"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【温馨提示】</w:t>
            </w:r>
          </w:p>
          <w:p w14:paraId="208B4A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default"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1、凤凰因交通管制，旅游车辆有时只能在指定位置停车，需步行入住酒店。古城接驳车费用已含。如政府性质需购买门票，门票费用自理。</w:t>
            </w:r>
          </w:p>
          <w:p w14:paraId="3C4E6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default"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2、凤凰古城为敞开式民用商业区，特色商品导游义务介绍，旅游者购物行为为自主选择，旅行社不接受凤凰区域旅游者购物方面的投诉。</w:t>
            </w:r>
          </w:p>
          <w:p w14:paraId="2FE236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eastAsia" w:eastAsia="宋体"/>
                <w:lang w:eastAsia="zh-CN"/>
              </w:rPr>
            </w:pPr>
            <w:r>
              <w:rPr>
                <w:rFonts w:hint="eastAsia" w:ascii="微软雅黑" w:hAnsi="微软雅黑" w:eastAsia="微软雅黑" w:cs="微软雅黑"/>
                <w:sz w:val="21"/>
                <w:szCs w:val="21"/>
                <w:lang w:eastAsia="zh-CN"/>
              </w:rPr>
              <w:t xml:space="preserve">3、景区游客较多，请跟好大部队，认清导游，不建议单独活动！  </w:t>
            </w:r>
          </w:p>
        </w:tc>
      </w:tr>
      <w:tr w14:paraId="607841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2656216">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sz w:val="28"/>
                <w:szCs w:val="28"/>
                <w:lang w:val="en-US" w:eastAsia="zh-CN"/>
              </w:rPr>
              <w:t xml:space="preserve">天  凤凰古城—湘西苗寨—天门山玻璃栈道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/中      </w:t>
            </w:r>
            <w:r>
              <w:rPr>
                <w:rFonts w:hint="eastAsia" w:ascii="微软雅黑" w:hAnsi="微软雅黑" w:eastAsia="微软雅黑" w:cs="微软雅黑"/>
                <w:b/>
                <w:bCs/>
                <w:color w:val="FFFFFF"/>
                <w:sz w:val="24"/>
                <w:szCs w:val="24"/>
              </w:rPr>
              <w:t>住</w:t>
            </w:r>
            <w:r>
              <w:rPr>
                <w:rFonts w:hint="eastAsia" w:ascii="微软雅黑" w:hAnsi="微软雅黑" w:eastAsia="微软雅黑" w:cs="微软雅黑"/>
                <w:b/>
                <w:bCs/>
                <w:color w:val="FFFFFF"/>
                <w:sz w:val="24"/>
                <w:szCs w:val="24"/>
                <w:lang w:val="en-US" w:eastAsia="zh-CN"/>
              </w:rPr>
              <w:t>/</w:t>
            </w:r>
            <w:r>
              <w:rPr>
                <w:rFonts w:hint="eastAsia" w:ascii="微软雅黑" w:hAnsi="微软雅黑" w:eastAsia="微软雅黑" w:cs="微软雅黑"/>
                <w:b/>
                <w:bCs/>
                <w:color w:val="FFFFFF"/>
                <w:sz w:val="24"/>
                <w:szCs w:val="24"/>
                <w:lang w:eastAsia="zh-CN"/>
              </w:rPr>
              <w:t>张家界</w:t>
            </w:r>
          </w:p>
        </w:tc>
      </w:tr>
      <w:tr w14:paraId="294553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3" w:hRule="atLeast"/>
        </w:trPr>
        <w:tc>
          <w:tcPr>
            <w:tcW w:w="11661" w:type="dxa"/>
            <w:gridSpan w:val="6"/>
            <w:tcBorders>
              <w:top w:val="single" w:color="auto" w:sz="4" w:space="0"/>
              <w:left w:val="single" w:color="auto" w:sz="4" w:space="0"/>
              <w:bottom w:val="single" w:color="auto" w:sz="4" w:space="0"/>
              <w:right w:val="single" w:color="auto" w:sz="4" w:space="0"/>
            </w:tcBorders>
          </w:tcPr>
          <w:p w14:paraId="722A5E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早餐后</w:t>
            </w:r>
            <w:r>
              <w:rPr>
                <w:rFonts w:hint="eastAsia" w:ascii="微软雅黑" w:hAnsi="微软雅黑" w:eastAsia="微软雅黑" w:cs="微软雅黑"/>
                <w:sz w:val="21"/>
                <w:szCs w:val="21"/>
                <w:lang w:val="en-US" w:eastAsia="zh-CN"/>
              </w:rPr>
              <w:t>前往宋祖英的家乡</w:t>
            </w:r>
            <w:r>
              <w:rPr>
                <w:rFonts w:hint="eastAsia" w:ascii="微软雅黑" w:hAnsi="微软雅黑" w:eastAsia="微软雅黑" w:cs="微软雅黑"/>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 ，湘西苗寨处于张家界至凤凰古城的黄金分割点上 ，坐落于深山峡谷之中 ，隶属古丈县管 辖。这里是著名歌唱家何继光和宋祖英的家乡 ，是国家领导人来湘西唯一视察的苗寨。苗寨世代续苗王权力至上的宗 族管理机构 ，这里是湘西最后一个银匠山寨。保存有西南地区最大的苗银图腾--银帽子；也是苗鼓之乡 ，保存有世界上最大的苗鼓。体验苗族特色风俗习惯（趣味竹竿舞、 品尝苗家特色长拢宴）。</w:t>
            </w:r>
            <w:r>
              <w:rPr>
                <w:rFonts w:hint="default" w:ascii="微软雅黑" w:hAnsi="微软雅黑" w:eastAsia="微软雅黑" w:cs="微软雅黑"/>
                <w:sz w:val="21"/>
                <w:szCs w:val="21"/>
                <w:lang w:val="en-US" w:eastAsia="zh-CN"/>
              </w:rPr>
              <w:t>赴张家界新传奇</w:t>
            </w:r>
            <w:r>
              <w:rPr>
                <w:rFonts w:hint="default" w:ascii="微软雅黑" w:hAnsi="微软雅黑" w:eastAsia="微软雅黑" w:cs="微软雅黑"/>
                <w:color w:val="FF0000"/>
                <w:sz w:val="21"/>
                <w:szCs w:val="21"/>
                <w:lang w:val="en-US" w:eastAsia="zh-CN"/>
              </w:rPr>
              <w:t>【天门山国家森林公园</w:t>
            </w:r>
            <w:r>
              <w:rPr>
                <w:rFonts w:hint="eastAsia" w:ascii="微软雅黑" w:hAnsi="微软雅黑" w:eastAsia="微软雅黑" w:cs="微软雅黑"/>
                <w:color w:val="FF0000"/>
                <w:sz w:val="21"/>
                <w:szCs w:val="21"/>
                <w:lang w:val="en-US" w:eastAsia="zh-CN"/>
              </w:rPr>
              <w:t>】（大门票已含+景区索道+扶梯+鞋套景交套餐已含）</w:t>
            </w:r>
            <w:r>
              <w:rPr>
                <w:rFonts w:hint="default" w:ascii="微软雅黑" w:hAnsi="微软雅黑" w:eastAsia="微软雅黑" w:cs="微软雅黑"/>
                <w:sz w:val="21"/>
                <w:szCs w:val="21"/>
                <w:lang w:val="en-US" w:eastAsia="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玻璃栈道】是张家界天门山景区继悬于峭壁之上的鬼谷栈道、凭空伸出的玻璃眺望台、横跨峡谷的木质吊桥后打造的又一试胆力作。可与举世闻名的美国大峡谷玻璃走廊“天空之路”媲美，因而有了东方“天空之路”的美誉。有号称通天大道【盘山公路】共计 99 弯，“天下第一公路奇观”横空出世，垂直高差达 1279 米左右。【天门洞】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498C2F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eastAsia" w:ascii="微软雅黑" w:hAnsi="微软雅黑" w:eastAsia="微软雅黑" w:cs="微软雅黑"/>
                <w:sz w:val="21"/>
                <w:szCs w:val="21"/>
                <w:lang w:val="en-US" w:eastAsia="zh-CN"/>
              </w:rPr>
            </w:pPr>
          </w:p>
          <w:p w14:paraId="4B7903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【温馨提示】：</w:t>
            </w:r>
          </w:p>
          <w:p w14:paraId="6D4C96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1、因天门山景区门票是一证一票制，必须提供正确的身份证号码及姓名，参团前请携带好身份证原件</w:t>
            </w:r>
            <w:r>
              <w:rPr>
                <w:rFonts w:hint="eastAsia" w:ascii="微软雅黑" w:hAnsi="微软雅黑" w:eastAsia="微软雅黑" w:cs="微软雅黑"/>
                <w:sz w:val="21"/>
                <w:szCs w:val="21"/>
                <w:lang w:val="en-US" w:eastAsia="zh-CN"/>
              </w:rPr>
              <w:t>及相关优惠证件原件</w:t>
            </w:r>
            <w:r>
              <w:rPr>
                <w:rFonts w:hint="default" w:ascii="微软雅黑" w:hAnsi="微软雅黑" w:eastAsia="微软雅黑" w:cs="微软雅黑"/>
                <w:sz w:val="21"/>
                <w:szCs w:val="21"/>
                <w:lang w:val="en-US" w:eastAsia="zh-CN"/>
              </w:rPr>
              <w:t>；</w:t>
            </w:r>
          </w:p>
          <w:p w14:paraId="0404B7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15" w:rightChars="-55"/>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7AD8282">
            <w:pPr>
              <w:pStyle w:val="18"/>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exact"/>
              <w:ind w:left="0" w:leftChars="0" w:right="0" w:firstLine="420" w:firstLineChars="200"/>
              <w:textAlignment w:val="auto"/>
              <w:rPr>
                <w:rFonts w:hint="eastAsia" w:eastAsia="宋体"/>
                <w:lang w:val="en-US" w:eastAsia="zh-CN"/>
              </w:rPr>
            </w:pPr>
            <w:r>
              <w:rPr>
                <w:rFonts w:hint="default" w:ascii="微软雅黑" w:hAnsi="微软雅黑" w:eastAsia="微软雅黑" w:cs="微软雅黑"/>
                <w:sz w:val="21"/>
                <w:szCs w:val="21"/>
                <w:lang w:val="en-US" w:eastAsia="zh-CN"/>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1C558F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068406AF">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第六天</w:t>
            </w:r>
            <w:r>
              <w:rPr>
                <w:rFonts w:hint="eastAsia" w:ascii="微软雅黑" w:hAnsi="微软雅黑" w:eastAsia="微软雅黑" w:cs="微软雅黑"/>
                <w:b/>
                <w:bCs/>
                <w:color w:val="FFFFFF"/>
                <w:sz w:val="28"/>
                <w:szCs w:val="28"/>
                <w:lang w:val="en-US" w:eastAsia="zh-CN"/>
              </w:rPr>
              <w:t xml:space="preserve">  超市—土司城—武陵源                        用餐/早晚      住宿/张家界</w:t>
            </w:r>
          </w:p>
        </w:tc>
      </w:tr>
      <w:tr w14:paraId="0F58A2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7E7B1D69">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363"/>
              <w:jc w:val="both"/>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default" w:ascii="微软雅黑" w:hAnsi="微软雅黑" w:eastAsia="微软雅黑" w:cs="微软雅黑"/>
                <w:kern w:val="2"/>
                <w:sz w:val="21"/>
                <w:szCs w:val="21"/>
                <w:lang w:val="en-US" w:eastAsia="zh-CN" w:bidi="ar-SA"/>
              </w:rPr>
              <w:t>早</w:t>
            </w:r>
            <w:r>
              <w:rPr>
                <w:rFonts w:hint="eastAsia" w:ascii="微软雅黑" w:hAnsi="微软雅黑" w:eastAsia="微软雅黑" w:cs="微软雅黑"/>
                <w:kern w:val="2"/>
                <w:sz w:val="21"/>
                <w:szCs w:val="21"/>
                <w:lang w:val="en-US" w:eastAsia="zh-CN" w:bidi="ar-SA"/>
              </w:rPr>
              <w:t>餐后参观当地大型特产超市【湖南印象】（约90分钟）土家民族精粹和传统手工艺术展览中心，可选择自己心爱的当地土特产及纪念品。BUS赴市区参观被誉为中国三大皇宫之一的</w:t>
            </w:r>
            <w:r>
              <w:rPr>
                <w:rFonts w:hint="eastAsia" w:ascii="微软雅黑" w:hAnsi="微软雅黑" w:eastAsia="微软雅黑" w:cs="微软雅黑"/>
                <w:color w:val="FF0000"/>
                <w:kern w:val="2"/>
                <w:sz w:val="21"/>
                <w:szCs w:val="21"/>
                <w:lang w:val="en-US" w:eastAsia="zh-CN" w:bidi="ar-SA"/>
              </w:rPr>
              <w:t>【张家界土司城】</w:t>
            </w:r>
            <w:r>
              <w:rPr>
                <w:rFonts w:hint="eastAsia" w:ascii="微软雅黑" w:hAnsi="微软雅黑" w:eastAsia="微软雅黑" w:cs="微软雅黑"/>
                <w:kern w:val="2"/>
                <w:sz w:val="21"/>
                <w:szCs w:val="21"/>
                <w:lang w:val="en-US" w:eastAsia="zh-CN" w:bidi="ar-SA"/>
              </w:rPr>
              <w:t>是一座人文景观与自然景观相融合，集土家族农耕文化、兵战文化、土司历史、建筑艺术、工艺美术、表演艺术、民俗风情及饮食起居为一体的大型民族文化景点。在土家风情园可以观赏到表现土家原始劳作与生活情形的茅古斯舞、铜铃舞、摆手舞、打溜子等表演。入住酒店休息！</w:t>
            </w:r>
          </w:p>
        </w:tc>
      </w:tr>
      <w:tr w14:paraId="71FD13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5AD3E28">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第七天</w:t>
            </w:r>
            <w:r>
              <w:rPr>
                <w:rFonts w:hint="eastAsia" w:ascii="微软雅黑" w:hAnsi="微软雅黑" w:eastAsia="微软雅黑" w:cs="微软雅黑"/>
                <w:b/>
                <w:bCs/>
                <w:color w:val="FFFFFF"/>
                <w:sz w:val="28"/>
                <w:szCs w:val="28"/>
                <w:lang w:val="en-US" w:eastAsia="zh-CN"/>
              </w:rPr>
              <w:t xml:space="preserve"> 杜心五武术文化展览馆-武昌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rPr>
              <w:tab/>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eastAsia="zh-CN"/>
              </w:rPr>
              <w:t>武汉</w:t>
            </w:r>
          </w:p>
        </w:tc>
      </w:tr>
      <w:tr w14:paraId="5A2B91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73"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6703B9B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lang w:eastAsia="zh-CN"/>
              </w:rPr>
            </w:pPr>
            <w:r>
              <w:rPr>
                <w:rFonts w:hint="default" w:ascii="微软雅黑" w:hAnsi="微软雅黑" w:eastAsia="微软雅黑" w:cs="微软雅黑"/>
                <w:kern w:val="2"/>
                <w:sz w:val="21"/>
                <w:szCs w:val="21"/>
                <w:lang w:val="en-US" w:eastAsia="zh-CN" w:bidi="ar-SA"/>
              </w:rPr>
              <w:t>早餐后前往【杜心五武术文化展览馆】游览时间约90分钟，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 汽车5个半小时到达武汉武昌，乘火车返回</w:t>
            </w:r>
            <w:r>
              <w:rPr>
                <w:rFonts w:hint="eastAsia" w:ascii="微软雅黑" w:hAnsi="微软雅黑" w:eastAsia="微软雅黑" w:cs="微软雅黑"/>
                <w:kern w:val="2"/>
                <w:sz w:val="21"/>
                <w:szCs w:val="21"/>
                <w:lang w:val="en-US" w:eastAsia="zh-CN" w:bidi="ar-SA"/>
              </w:rPr>
              <w:t>武汉入住酒店。</w:t>
            </w:r>
          </w:p>
        </w:tc>
      </w:tr>
      <w:tr w14:paraId="0FE93E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6"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27A2211F">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第八天</w:t>
            </w:r>
            <w:r>
              <w:rPr>
                <w:rFonts w:hint="eastAsia" w:ascii="微软雅黑" w:hAnsi="微软雅黑" w:eastAsia="微软雅黑" w:cs="微软雅黑"/>
                <w:b/>
                <w:bCs/>
                <w:color w:val="FFFFFF"/>
                <w:sz w:val="28"/>
                <w:szCs w:val="28"/>
                <w:lang w:val="en-US" w:eastAsia="zh-CN"/>
              </w:rPr>
              <w:t xml:space="preserve"> 武汉-出发地抵达温馨的家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住宿/家</w:t>
            </w:r>
          </w:p>
        </w:tc>
      </w:tr>
      <w:tr w14:paraId="25AEA4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8" w:hRule="atLeast"/>
        </w:trPr>
        <w:tc>
          <w:tcPr>
            <w:tcW w:w="11661" w:type="dxa"/>
            <w:gridSpan w:val="6"/>
            <w:tcBorders>
              <w:top w:val="single" w:color="auto" w:sz="4" w:space="0"/>
              <w:left w:val="single" w:color="auto" w:sz="4" w:space="0"/>
              <w:bottom w:val="single" w:color="auto" w:sz="4" w:space="0"/>
              <w:right w:val="single" w:color="auto" w:sz="4" w:space="0"/>
            </w:tcBorders>
          </w:tcPr>
          <w:p w14:paraId="22A27FC2">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lang w:eastAsia="zh-CN"/>
              </w:rPr>
            </w:pPr>
            <w:r>
              <w:rPr>
                <w:rFonts w:hint="eastAsia" w:ascii="微软雅黑" w:hAnsi="微软雅黑" w:eastAsia="微软雅黑" w:cs="微软雅黑"/>
                <w:lang w:eastAsia="zh-CN"/>
              </w:rPr>
              <w:t>抵达温馨的家，结束愉快之旅！</w:t>
            </w:r>
          </w:p>
        </w:tc>
      </w:tr>
      <w:tr w14:paraId="056CA0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61" w:type="dxa"/>
            <w:gridSpan w:val="6"/>
            <w:tcBorders>
              <w:top w:val="single" w:color="auto" w:sz="4" w:space="0"/>
              <w:left w:val="single" w:color="auto" w:sz="4" w:space="0"/>
              <w:bottom w:val="single" w:color="auto" w:sz="4" w:space="0"/>
              <w:right w:val="single" w:color="auto" w:sz="4" w:space="0"/>
            </w:tcBorders>
          </w:tcPr>
          <w:p w14:paraId="20D74C3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BBBD7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77E63B42">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574B64B1">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1【交通】：全程豪华正规旅游大巴（车辆大小由旅行社根据游客人数调整,保证每人每座）</w:t>
            </w:r>
          </w:p>
          <w:p w14:paraId="6B668F9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2【住宿】： 共5晚当地舒适型酒店，升级1晚民俗古风特色客栈，（空调、热水、彩电、独卫），（根据湖南省政府节能环保政策规定，酒店不提供一次性洗漱用品，请客人自备,敬请谅解。）不提供自然单间或三人间，如需安排请补单房差500元/位</w:t>
            </w:r>
          </w:p>
          <w:p w14:paraId="3393EAE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3【门票】：二坝一峡、地心谷、桃花源、叠石花谷、土司城、湘西苗寨、天门山</w:t>
            </w:r>
          </w:p>
          <w:p w14:paraId="43824D32">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此线路产品均为中老年人设计，景区门票已经按优惠价的均价核算成本。所有门票无任何优惠退费。</w:t>
            </w:r>
          </w:p>
          <w:p w14:paraId="5F314E1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报名前请仔细阅读，报名则视为认同， 感谢您的理解支持。</w:t>
            </w:r>
          </w:p>
          <w:p w14:paraId="3F4F84E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4【用餐】：共含5早3正餐  升级二大特色风味餐：《长拢宴》《土家三下锅》《高山流水》或《歌舞伴宴》</w:t>
            </w:r>
          </w:p>
          <w:p w14:paraId="181FBD6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5【用车】：全程空调旅游车,保证每人一正座；</w:t>
            </w:r>
          </w:p>
          <w:p w14:paraId="10BA7CD2">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6【导游】：热爱旅游事业的专职导游；</w:t>
            </w:r>
          </w:p>
          <w:p w14:paraId="7C43731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7【购物】：1个特产超市，当地大型土特产超市不算购物店。（景区内自营旅游工艺品、便利店不属旅行社安排，恕不接受相关投诉）</w:t>
            </w:r>
          </w:p>
          <w:p w14:paraId="1464358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8【保险】：旅行社责任险和运输车队意外险、景区意外险。</w:t>
            </w:r>
          </w:p>
          <w:p w14:paraId="4B3D4923">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pPr>
            <w:r>
              <w:rPr>
                <w:rFonts w:hint="eastAsia" w:ascii="微软雅黑" w:hAnsi="微软雅黑" w:eastAsia="微软雅黑" w:cs="微软雅黑"/>
                <w:sz w:val="21"/>
                <w:szCs w:val="21"/>
                <w:lang w:val="en-US" w:eastAsia="zh-CN"/>
              </w:rPr>
              <w:t>9【儿童】：含早餐、正餐半餐，车位，旅行社责任险，导游服务费；不含门票、床位（超高自理）</w:t>
            </w:r>
          </w:p>
        </w:tc>
      </w:tr>
      <w:tr w14:paraId="527CD3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 w:hRule="atLeast"/>
        </w:trPr>
        <w:tc>
          <w:tcPr>
            <w:tcW w:w="11661" w:type="dxa"/>
            <w:gridSpan w:val="6"/>
            <w:tcBorders>
              <w:top w:val="single" w:color="auto" w:sz="4" w:space="0"/>
              <w:left w:val="single" w:color="auto" w:sz="4" w:space="0"/>
              <w:bottom w:val="single" w:color="auto" w:sz="4" w:space="0"/>
              <w:right w:val="single" w:color="auto" w:sz="4" w:space="0"/>
            </w:tcBorders>
          </w:tcPr>
          <w:p w14:paraId="2BDE0E1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0ED97BDD">
            <w:pPr>
              <w:spacing w:line="36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儿童价格执行标准：身高1.2米以下</w:t>
            </w:r>
            <w:r>
              <w:rPr>
                <w:rFonts w:hint="eastAsia" w:ascii="微软雅黑" w:hAnsi="微软雅黑" w:eastAsia="微软雅黑" w:cs="微软雅黑"/>
                <w:szCs w:val="21"/>
                <w:lang w:eastAsia="zh-CN"/>
              </w:rPr>
              <w:t>，无必消；</w:t>
            </w:r>
            <w:r>
              <w:rPr>
                <w:rFonts w:hint="eastAsia" w:ascii="微软雅黑" w:hAnsi="微软雅黑" w:eastAsia="微软雅黑" w:cs="微软雅黑"/>
                <w:color w:val="auto"/>
                <w:spacing w:val="7"/>
                <w:shd w:val="clear" w:color="auto" w:fill="FFFFFF"/>
              </w:rPr>
              <w:t>1.2米以上（含1.2米）按成人操作（有必消套餐）</w:t>
            </w:r>
          </w:p>
          <w:p w14:paraId="033FDA0D">
            <w:pPr>
              <w:spacing w:line="360" w:lineRule="exact"/>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儿童价格包含：当地接待车位费、全程半餐费、导游服务费；</w:t>
            </w:r>
          </w:p>
          <w:p w14:paraId="3A1F1054">
            <w:pPr>
              <w:spacing w:line="360" w:lineRule="exact"/>
              <w:rPr>
                <w:rFonts w:ascii="微软雅黑" w:hAnsi="微软雅黑" w:eastAsia="微软雅黑" w:cs="微软雅黑"/>
              </w:rPr>
            </w:pPr>
            <w:r>
              <w:rPr>
                <w:rFonts w:hint="eastAsia" w:ascii="微软雅黑" w:hAnsi="微软雅黑" w:eastAsia="微软雅黑" w:cs="微软雅黑"/>
                <w:szCs w:val="21"/>
              </w:rPr>
              <w:t>3</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儿童价格不含：住宿、门票；若产生费用现付当地导游；儿童不含成人报价中的赠送门票项目</w:t>
            </w:r>
          </w:p>
        </w:tc>
      </w:tr>
      <w:tr w14:paraId="17296E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394A22B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0F5F60C6">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FF0000"/>
                <w:kern w:val="2"/>
                <w:sz w:val="22"/>
                <w:szCs w:val="22"/>
                <w:lang w:val="en-US" w:eastAsia="zh-CN" w:bidi="ar-SA"/>
              </w:rPr>
            </w:pPr>
            <w:r>
              <w:rPr>
                <w:rFonts w:hint="eastAsia" w:ascii="微软雅黑" w:hAnsi="微软雅黑" w:eastAsia="微软雅黑" w:cs="微软雅黑"/>
                <w:color w:val="FF0000"/>
                <w:kern w:val="2"/>
                <w:sz w:val="22"/>
                <w:szCs w:val="22"/>
                <w:lang w:val="en-US" w:eastAsia="zh-CN" w:bidi="ar-SA"/>
              </w:rPr>
              <w:t>必消套餐：当地大巴+二坝一峡+地心谷+桃花源+叠石花谷+土司城+湘西苗寨=699元/人（选择此产品，视为接受此消费，否则团费另议）</w:t>
            </w:r>
          </w:p>
          <w:p w14:paraId="64A336FB">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both"/>
              <w:textAlignment w:val="auto"/>
              <w:rPr>
                <w:rStyle w:val="14"/>
                <w:rFonts w:hint="eastAsia" w:ascii="微软雅黑" w:hAnsi="微软雅黑" w:eastAsia="微软雅黑" w:cs="微软雅黑"/>
                <w:bCs/>
                <w:color w:val="D6A841"/>
                <w:spacing w:val="30"/>
                <w:sz w:val="24"/>
                <w:lang w:eastAsia="zh-CN"/>
              </w:rPr>
            </w:pPr>
            <w:r>
              <w:rPr>
                <w:rFonts w:hint="eastAsia" w:ascii="微软雅黑" w:hAnsi="微软雅黑" w:eastAsia="微软雅黑" w:cs="微软雅黑"/>
                <w:color w:val="FF0000"/>
                <w:kern w:val="2"/>
                <w:sz w:val="22"/>
                <w:szCs w:val="22"/>
                <w:lang w:val="en-US" w:eastAsia="zh-CN" w:bidi="ar-SA"/>
              </w:rPr>
              <w:t>现付导游景交：三峡船票99+地心谷30+天门山索道184+穿山扶梯32+天门扶梯32+玻璃栈道鞋套5+凤凰接驳车28=410元/人，打包优惠价399/人。（优惠证件不享受再优惠）</w:t>
            </w:r>
          </w:p>
        </w:tc>
      </w:tr>
      <w:tr w14:paraId="7AA276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38F83DF9">
            <w:pPr>
              <w:pStyle w:val="9"/>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3E9D339E">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1、同车人数：2-12人</w:t>
            </w:r>
          </w:p>
          <w:p w14:paraId="31FE0D69">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2、本行程所有人群行程所有门票无优无免。</w:t>
            </w:r>
          </w:p>
          <w:p w14:paraId="2963616B">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 xml:space="preserve">3、谢绝 70 岁以上游客不提供三甲医院的健康证明参加此旅游团行程；  </w:t>
            </w:r>
          </w:p>
          <w:p w14:paraId="51471155">
            <w:pPr>
              <w:pStyle w:val="9"/>
              <w:spacing w:before="0" w:beforeAutospacing="0" w:after="0" w:afterAutospacing="0" w:line="360" w:lineRule="exact"/>
              <w:jc w:val="both"/>
              <w:rPr>
                <w:rStyle w:val="14"/>
                <w:rFonts w:hint="eastAsia" w:ascii="微软雅黑" w:hAnsi="微软雅黑" w:eastAsia="微软雅黑" w:cs="微软雅黑"/>
                <w:spacing w:val="7"/>
                <w:sz w:val="21"/>
                <w:szCs w:val="21"/>
                <w:shd w:val="clear" w:color="auto" w:fill="FFFFFF"/>
                <w:lang w:eastAsia="zh-CN"/>
              </w:rPr>
            </w:pPr>
            <w:r>
              <w:rPr>
                <w:rFonts w:hint="eastAsia" w:ascii="微软雅黑" w:hAnsi="微软雅黑" w:eastAsia="微软雅黑" w:cs="微软雅黑"/>
                <w:kern w:val="2"/>
                <w:sz w:val="22"/>
                <w:szCs w:val="22"/>
                <w:lang w:val="en-US" w:eastAsia="zh-CN" w:bidi="ar-SA"/>
              </w:rPr>
              <w:t>4、以上产品价格为特惠打包价格，用房、用车、用餐、门票无优无免无退费！收客须知）。</w:t>
            </w:r>
          </w:p>
        </w:tc>
      </w:tr>
      <w:tr w14:paraId="1CF73B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61" w:type="dxa"/>
            <w:gridSpan w:val="6"/>
            <w:tcBorders>
              <w:top w:val="single" w:color="auto" w:sz="4" w:space="0"/>
              <w:left w:val="single" w:color="auto" w:sz="4" w:space="0"/>
              <w:bottom w:val="single" w:color="auto" w:sz="4" w:space="0"/>
              <w:right w:val="single" w:color="auto" w:sz="4" w:space="0"/>
            </w:tcBorders>
          </w:tcPr>
          <w:p w14:paraId="6D63B035">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53FE98E7">
            <w:pPr>
              <w:pStyle w:val="9"/>
              <w:numPr>
                <w:ilvl w:val="0"/>
                <w:numId w:val="1"/>
              </w:numPr>
              <w:spacing w:before="0" w:beforeAutospacing="0" w:after="0" w:afterAutospacing="0" w:line="360" w:lineRule="exact"/>
              <w:ind w:left="218" w:leftChars="0" w:hanging="218" w:hangingChars="104"/>
              <w:jc w:val="both"/>
              <w:textAlignment w:val="baseline"/>
              <w:rPr>
                <w:rFonts w:hint="default"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1、本社特别重视产品的质量，把产品的质量视为生命线！所以本社每个旅游团都有工作人员24小时值班监督，随时解决游客旅途中一切问题。游客千万别忘了报名时索要质量监督人员手机号码。</w:t>
            </w:r>
          </w:p>
          <w:p w14:paraId="012D70F5">
            <w:pPr>
              <w:pStyle w:val="9"/>
              <w:numPr>
                <w:ilvl w:val="0"/>
                <w:numId w:val="1"/>
              </w:numPr>
              <w:spacing w:before="0" w:beforeAutospacing="0" w:after="0" w:afterAutospacing="0" w:line="360" w:lineRule="exact"/>
              <w:ind w:left="218" w:leftChars="0" w:hanging="218" w:hangingChars="104"/>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此线路产品均为中老年人设计，故此；景区门票已经按老人优惠价的均价核算成本。所有门票无任何优惠退费。报名前请仔细阅读，报名则视为认同。 感谢您的理解支持。 祝您旅游愉快！</w:t>
            </w:r>
          </w:p>
          <w:p w14:paraId="73CEEF12">
            <w:pPr>
              <w:pStyle w:val="9"/>
              <w:numPr>
                <w:ilvl w:val="0"/>
                <w:numId w:val="1"/>
              </w:numPr>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湘西以山区地形为主，穿衣尽量休闲，鞋以休闲或登山鞋为主！</w:t>
            </w:r>
          </w:p>
          <w:p w14:paraId="039F9D7F">
            <w:pPr>
              <w:pStyle w:val="9"/>
              <w:numPr>
                <w:ilvl w:val="0"/>
                <w:numId w:val="1"/>
              </w:numPr>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4F0ECC3A">
            <w:pPr>
              <w:pStyle w:val="9"/>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3、景区内为特级禁烟区的地方，请勿在景区内抽烟，以防发生森林火灾；</w:t>
            </w:r>
          </w:p>
          <w:p w14:paraId="70B45BBF">
            <w:pPr>
              <w:pStyle w:val="9"/>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4、湘西是少数民族集聚地，普遍文化程度不高，民风彪悍，请自觉尊重当地民俗，以免发生不必要的冲突；</w:t>
            </w:r>
          </w:p>
          <w:p w14:paraId="58AB385E">
            <w:pPr>
              <w:pStyle w:val="9"/>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5、因当地是山区，经济条件有限，酒店服务及设施、餐饮等方面与发达城市相比会有较大的差距，山区雨季较多，经常有潮湿、蚊蝇等属正常情况，敬请谅解。</w:t>
            </w:r>
          </w:p>
          <w:p w14:paraId="0EAE3B65">
            <w:pPr>
              <w:pStyle w:val="9"/>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6、湖南特色工艺品及土特产主要有：苗族银饰、湘西朱砂、普洱茶爷爷--安化黑茶、岩耳、葛根粉、姜糖、牛角梳，杜仲系列产品等。</w:t>
            </w:r>
          </w:p>
          <w:p w14:paraId="73299301">
            <w:pPr>
              <w:pStyle w:val="9"/>
              <w:spacing w:before="0" w:beforeAutospacing="0" w:after="0" w:afterAutospacing="0" w:line="360" w:lineRule="exact"/>
              <w:jc w:val="both"/>
              <w:textAlignment w:val="baseline"/>
              <w:rPr>
                <w:rFonts w:ascii="微软雅黑" w:hAnsi="微软雅黑" w:eastAsia="微软雅黑" w:cs="微软雅黑"/>
                <w:szCs w:val="21"/>
              </w:rPr>
            </w:pPr>
            <w:r>
              <w:rPr>
                <w:rFonts w:hint="eastAsia" w:ascii="微软雅黑" w:hAnsi="微软雅黑" w:eastAsia="微软雅黑" w:cs="微软雅黑"/>
                <w:kern w:val="2"/>
                <w:sz w:val="21"/>
                <w:szCs w:val="21"/>
              </w:rPr>
              <w:t>7、如遇山洪暴发等不可抗力的因素，赠送景点或游船不退不换，敬请谅解！</w:t>
            </w:r>
          </w:p>
        </w:tc>
      </w:tr>
      <w:tr w14:paraId="76A449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7" w:hRule="atLeast"/>
        </w:trPr>
        <w:tc>
          <w:tcPr>
            <w:tcW w:w="11661" w:type="dxa"/>
            <w:gridSpan w:val="6"/>
            <w:tcBorders>
              <w:top w:val="single" w:color="auto" w:sz="4" w:space="0"/>
              <w:left w:val="single" w:color="auto" w:sz="4" w:space="0"/>
              <w:bottom w:val="single" w:color="auto" w:sz="4" w:space="0"/>
              <w:right w:val="single" w:color="auto" w:sz="4" w:space="0"/>
            </w:tcBorders>
          </w:tcPr>
          <w:p w14:paraId="034EB675">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 xml:space="preserve">☆☆温馨提示☆☆ </w:t>
            </w:r>
          </w:p>
          <w:p w14:paraId="50E11E5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1、根据市场情况不同，报名价格不一，同车出现价格差异属正常情况，因为存在会员、甩单及客源地里程远近不一等，我社不作任何解释，敬请谅解。</w:t>
            </w:r>
          </w:p>
          <w:p w14:paraId="1ECE131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0B11689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3、遇自然单间（单男单女），安排入住加床调配，或由客人自理房差；酒店空调和热水定时开放，具体时间视气候和景区水库供水时间所定，请特别注意。由于酒店接待能力有限不能保证全部团友住同一家酒店.</w:t>
            </w:r>
          </w:p>
          <w:p w14:paraId="6920FA81">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4、如因战争、天气、堵车、交通事故等.....不可抗力的因素所产生的额外费用游客自理。</w:t>
            </w:r>
          </w:p>
          <w:p w14:paraId="1A2DB5A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5、我社不接受客人返程后的一切投诉，所有问题我们会第一时间解决，接待质量以当地游客填写的意见表为准！</w:t>
            </w:r>
          </w:p>
          <w:p w14:paraId="2D399C3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color w:val="auto"/>
                <w:spacing w:val="7"/>
                <w:sz w:val="21"/>
                <w:szCs w:val="21"/>
                <w:shd w:val="clear" w:color="auto" w:fill="FFFFFF"/>
              </w:rPr>
              <w:t>6、以上行程时间安排如果因天气、路况等不可抗力因素，在不影响行程和接待标准前提下，我社有权进行游览顺序调整，尽请谅解！</w:t>
            </w:r>
          </w:p>
        </w:tc>
      </w:tr>
    </w:tbl>
    <w:p w14:paraId="33070349">
      <w:pPr>
        <w:pStyle w:val="15"/>
        <w:ind w:left="0" w:leftChars="0" w:firstLine="0" w:firstLineChars="0"/>
        <w:rPr>
          <w:sz w:val="18"/>
          <w:szCs w:val="18"/>
        </w:rPr>
      </w:pPr>
    </w:p>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A6F02">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F5E4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14FA1">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C1533">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A3AAC">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1B51C"/>
    <w:multiLevelType w:val="singleLevel"/>
    <w:tmpl w:val="C571B51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1YjExODA1ZTIwN2ZlYThhYmY3OGUwZDQxOWY3MWIifQ=="/>
    <w:docVar w:name="KSO_WPS_MARK_KEY" w:val="840ed46f-82bf-475b-9b0c-ec140e6af603"/>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2E06"/>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D53232"/>
    <w:rsid w:val="02492FB3"/>
    <w:rsid w:val="027B28ED"/>
    <w:rsid w:val="02BB7CC4"/>
    <w:rsid w:val="02ED0D12"/>
    <w:rsid w:val="032D0FCD"/>
    <w:rsid w:val="04326247"/>
    <w:rsid w:val="04C634D5"/>
    <w:rsid w:val="05A55472"/>
    <w:rsid w:val="0660115C"/>
    <w:rsid w:val="066606B5"/>
    <w:rsid w:val="06C8688F"/>
    <w:rsid w:val="0704296D"/>
    <w:rsid w:val="073B1CE0"/>
    <w:rsid w:val="07485FA1"/>
    <w:rsid w:val="07723FAA"/>
    <w:rsid w:val="07BC6D96"/>
    <w:rsid w:val="07D30491"/>
    <w:rsid w:val="08160A46"/>
    <w:rsid w:val="08863B53"/>
    <w:rsid w:val="09337B5B"/>
    <w:rsid w:val="09370990"/>
    <w:rsid w:val="09420551"/>
    <w:rsid w:val="09E225A5"/>
    <w:rsid w:val="09FB426C"/>
    <w:rsid w:val="0A230D3A"/>
    <w:rsid w:val="0C7172C7"/>
    <w:rsid w:val="0C7E69E5"/>
    <w:rsid w:val="0CC71E35"/>
    <w:rsid w:val="0CE63B48"/>
    <w:rsid w:val="0D312621"/>
    <w:rsid w:val="0D546189"/>
    <w:rsid w:val="0D7D135C"/>
    <w:rsid w:val="0DC9323A"/>
    <w:rsid w:val="0E850379"/>
    <w:rsid w:val="0EF273CF"/>
    <w:rsid w:val="105E61E3"/>
    <w:rsid w:val="11C25C12"/>
    <w:rsid w:val="11F92DA7"/>
    <w:rsid w:val="11FB5550"/>
    <w:rsid w:val="12446133"/>
    <w:rsid w:val="12A53EA1"/>
    <w:rsid w:val="12EF0A4F"/>
    <w:rsid w:val="13371388"/>
    <w:rsid w:val="135A5953"/>
    <w:rsid w:val="13660EA4"/>
    <w:rsid w:val="13830597"/>
    <w:rsid w:val="143C7B63"/>
    <w:rsid w:val="14E432DA"/>
    <w:rsid w:val="150D1EBE"/>
    <w:rsid w:val="15B0279D"/>
    <w:rsid w:val="16044693"/>
    <w:rsid w:val="16CF065D"/>
    <w:rsid w:val="16F7733F"/>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DF1235"/>
    <w:rsid w:val="21C81DCC"/>
    <w:rsid w:val="22071AF9"/>
    <w:rsid w:val="22233137"/>
    <w:rsid w:val="22840166"/>
    <w:rsid w:val="23E40D09"/>
    <w:rsid w:val="23F42CBA"/>
    <w:rsid w:val="24270055"/>
    <w:rsid w:val="243D7EE2"/>
    <w:rsid w:val="243F6084"/>
    <w:rsid w:val="257A557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C90798A"/>
    <w:rsid w:val="2D234CF5"/>
    <w:rsid w:val="2EDE4234"/>
    <w:rsid w:val="2EF53261"/>
    <w:rsid w:val="2F046E1E"/>
    <w:rsid w:val="2F4B592E"/>
    <w:rsid w:val="2F6D625B"/>
    <w:rsid w:val="2FE11772"/>
    <w:rsid w:val="30320AF4"/>
    <w:rsid w:val="30A713E6"/>
    <w:rsid w:val="30BA4CEE"/>
    <w:rsid w:val="30D73977"/>
    <w:rsid w:val="31646571"/>
    <w:rsid w:val="31F10857"/>
    <w:rsid w:val="3294018C"/>
    <w:rsid w:val="33032DB7"/>
    <w:rsid w:val="33555388"/>
    <w:rsid w:val="33FC4F3D"/>
    <w:rsid w:val="34F848B8"/>
    <w:rsid w:val="356426E8"/>
    <w:rsid w:val="36021CA0"/>
    <w:rsid w:val="36276C4F"/>
    <w:rsid w:val="36B8395D"/>
    <w:rsid w:val="36EB3125"/>
    <w:rsid w:val="37684FFE"/>
    <w:rsid w:val="381808BC"/>
    <w:rsid w:val="381F242D"/>
    <w:rsid w:val="38E23DEF"/>
    <w:rsid w:val="3901371D"/>
    <w:rsid w:val="39ED3ED1"/>
    <w:rsid w:val="3A0E7640"/>
    <w:rsid w:val="3A78162F"/>
    <w:rsid w:val="3B4C224A"/>
    <w:rsid w:val="3B5E2BEF"/>
    <w:rsid w:val="3C164A8D"/>
    <w:rsid w:val="3CAC34BB"/>
    <w:rsid w:val="3CB7466E"/>
    <w:rsid w:val="3CD16FE9"/>
    <w:rsid w:val="3CD739C9"/>
    <w:rsid w:val="3D5D0BC0"/>
    <w:rsid w:val="3E66666E"/>
    <w:rsid w:val="3F074EEC"/>
    <w:rsid w:val="3F1E55F3"/>
    <w:rsid w:val="3F5B353A"/>
    <w:rsid w:val="3F711169"/>
    <w:rsid w:val="405A1B5A"/>
    <w:rsid w:val="40C13A8B"/>
    <w:rsid w:val="423D518D"/>
    <w:rsid w:val="42434DB3"/>
    <w:rsid w:val="425B235F"/>
    <w:rsid w:val="43170206"/>
    <w:rsid w:val="444C01E3"/>
    <w:rsid w:val="44533745"/>
    <w:rsid w:val="44F82AA5"/>
    <w:rsid w:val="450C2F1F"/>
    <w:rsid w:val="456E11C6"/>
    <w:rsid w:val="45C55BF5"/>
    <w:rsid w:val="46454B73"/>
    <w:rsid w:val="467A44F2"/>
    <w:rsid w:val="46AD22ED"/>
    <w:rsid w:val="46B257DB"/>
    <w:rsid w:val="47275F84"/>
    <w:rsid w:val="473700BF"/>
    <w:rsid w:val="474B3179"/>
    <w:rsid w:val="4756119F"/>
    <w:rsid w:val="4762127A"/>
    <w:rsid w:val="47830661"/>
    <w:rsid w:val="485347E6"/>
    <w:rsid w:val="487823FF"/>
    <w:rsid w:val="49E83CF2"/>
    <w:rsid w:val="4AA211FD"/>
    <w:rsid w:val="4ACC5921"/>
    <w:rsid w:val="4B210876"/>
    <w:rsid w:val="4B7A3ECD"/>
    <w:rsid w:val="4B83479F"/>
    <w:rsid w:val="4CC6395F"/>
    <w:rsid w:val="4D1C581A"/>
    <w:rsid w:val="4D326DF4"/>
    <w:rsid w:val="4D576E1A"/>
    <w:rsid w:val="4D5D122C"/>
    <w:rsid w:val="4D832CE2"/>
    <w:rsid w:val="4DC834CB"/>
    <w:rsid w:val="4E8F44E2"/>
    <w:rsid w:val="4F0202B4"/>
    <w:rsid w:val="4F044600"/>
    <w:rsid w:val="4F387A91"/>
    <w:rsid w:val="4F4127DD"/>
    <w:rsid w:val="4F4F035F"/>
    <w:rsid w:val="50914E57"/>
    <w:rsid w:val="5103733B"/>
    <w:rsid w:val="518075B3"/>
    <w:rsid w:val="51A11B6E"/>
    <w:rsid w:val="51F23B7D"/>
    <w:rsid w:val="52C31CA7"/>
    <w:rsid w:val="53AB1C9E"/>
    <w:rsid w:val="53C84C9E"/>
    <w:rsid w:val="540602EE"/>
    <w:rsid w:val="543F5D4E"/>
    <w:rsid w:val="55216B22"/>
    <w:rsid w:val="55DD601F"/>
    <w:rsid w:val="56405548"/>
    <w:rsid w:val="56434EB8"/>
    <w:rsid w:val="56511950"/>
    <w:rsid w:val="56693A34"/>
    <w:rsid w:val="56891D8F"/>
    <w:rsid w:val="56AB1B20"/>
    <w:rsid w:val="56F13408"/>
    <w:rsid w:val="570D43E2"/>
    <w:rsid w:val="580C3794"/>
    <w:rsid w:val="58744AC1"/>
    <w:rsid w:val="58F12E9E"/>
    <w:rsid w:val="5902109F"/>
    <w:rsid w:val="599B3179"/>
    <w:rsid w:val="59E20028"/>
    <w:rsid w:val="5A0E19AF"/>
    <w:rsid w:val="5A596CA5"/>
    <w:rsid w:val="5A71367A"/>
    <w:rsid w:val="5B7D5A7C"/>
    <w:rsid w:val="5C191119"/>
    <w:rsid w:val="5C5346A9"/>
    <w:rsid w:val="5D343E68"/>
    <w:rsid w:val="5DDC2F06"/>
    <w:rsid w:val="5E912B6D"/>
    <w:rsid w:val="5EFC114F"/>
    <w:rsid w:val="5F0324B2"/>
    <w:rsid w:val="5F8D4C38"/>
    <w:rsid w:val="5FD01E98"/>
    <w:rsid w:val="5FFC07C5"/>
    <w:rsid w:val="60920AED"/>
    <w:rsid w:val="609917DB"/>
    <w:rsid w:val="6133198D"/>
    <w:rsid w:val="613442C8"/>
    <w:rsid w:val="61F2345C"/>
    <w:rsid w:val="621C5D50"/>
    <w:rsid w:val="62492921"/>
    <w:rsid w:val="63006B79"/>
    <w:rsid w:val="630C5B20"/>
    <w:rsid w:val="63F655F7"/>
    <w:rsid w:val="640D5BAD"/>
    <w:rsid w:val="643F6A13"/>
    <w:rsid w:val="64C9168A"/>
    <w:rsid w:val="65DC23AC"/>
    <w:rsid w:val="65FE6FB9"/>
    <w:rsid w:val="664D50DC"/>
    <w:rsid w:val="668C4729"/>
    <w:rsid w:val="66E217EC"/>
    <w:rsid w:val="671F4F4F"/>
    <w:rsid w:val="672E5BEB"/>
    <w:rsid w:val="678F7C75"/>
    <w:rsid w:val="67951AFA"/>
    <w:rsid w:val="67B67376"/>
    <w:rsid w:val="67B74CF1"/>
    <w:rsid w:val="67BF4E48"/>
    <w:rsid w:val="67FB10A2"/>
    <w:rsid w:val="688B5C95"/>
    <w:rsid w:val="6A44754A"/>
    <w:rsid w:val="6AE371CE"/>
    <w:rsid w:val="6B8D6287"/>
    <w:rsid w:val="6B97511D"/>
    <w:rsid w:val="6BD603FA"/>
    <w:rsid w:val="6C46634B"/>
    <w:rsid w:val="6C8B384E"/>
    <w:rsid w:val="6D27070F"/>
    <w:rsid w:val="6D343B56"/>
    <w:rsid w:val="6DC16284"/>
    <w:rsid w:val="6EC57FAE"/>
    <w:rsid w:val="6F1A0F42"/>
    <w:rsid w:val="6F9A512E"/>
    <w:rsid w:val="6FA6663A"/>
    <w:rsid w:val="706D3841"/>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6290CF7"/>
    <w:rsid w:val="77221663"/>
    <w:rsid w:val="777E2193"/>
    <w:rsid w:val="782C410D"/>
    <w:rsid w:val="782E6E15"/>
    <w:rsid w:val="78C12891"/>
    <w:rsid w:val="78E8447A"/>
    <w:rsid w:val="79006A99"/>
    <w:rsid w:val="791178F8"/>
    <w:rsid w:val="79230809"/>
    <w:rsid w:val="79287E44"/>
    <w:rsid w:val="793F2690"/>
    <w:rsid w:val="798B5156"/>
    <w:rsid w:val="799176AF"/>
    <w:rsid w:val="79BA0862"/>
    <w:rsid w:val="79CD7E98"/>
    <w:rsid w:val="7A7E0D8D"/>
    <w:rsid w:val="7B316D37"/>
    <w:rsid w:val="7C763532"/>
    <w:rsid w:val="7D116447"/>
    <w:rsid w:val="7D7E5EC1"/>
    <w:rsid w:val="7D8201D1"/>
    <w:rsid w:val="7DAA31D0"/>
    <w:rsid w:val="7E233AA5"/>
    <w:rsid w:val="7E2A7DC1"/>
    <w:rsid w:val="7E9938BB"/>
    <w:rsid w:val="7EAE28A5"/>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link w:val="23"/>
    <w:unhideWhenUsed/>
    <w:qFormat/>
    <w:uiPriority w:val="99"/>
    <w:pPr>
      <w:widowControl/>
      <w:spacing w:before="100" w:beforeAutospacing="1" w:after="100" w:afterAutospacing="1"/>
      <w:jc w:val="left"/>
    </w:pPr>
    <w:rPr>
      <w:rFonts w:ascii="宋体" w:hAnsi="宋体" w:cs="宋体"/>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paragraph" w:customStyle="1" w:styleId="15">
    <w:name w:val="UserStyle_0"/>
    <w:basedOn w:val="1"/>
    <w:qFormat/>
    <w:uiPriority w:val="0"/>
    <w:pPr>
      <w:ind w:firstLine="420" w:firstLineChars="200"/>
      <w:textAlignment w:val="baseline"/>
    </w:p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eastAsia="宋体" w:cs="Times New Roman"/>
      <w:kern w:val="2"/>
      <w:sz w:val="18"/>
      <w:szCs w:val="18"/>
    </w:rPr>
  </w:style>
  <w:style w:type="paragraph" w:customStyle="1" w:styleId="18">
    <w:name w:val="普通(网站)1"/>
    <w:basedOn w:val="1"/>
    <w:link w:val="24"/>
    <w:qFormat/>
    <w:uiPriority w:val="0"/>
    <w:pPr>
      <w:widowControl/>
      <w:spacing w:before="100" w:beforeAutospacing="1" w:after="100" w:afterAutospacing="1"/>
      <w:jc w:val="left"/>
    </w:pPr>
    <w:rPr>
      <w:rFonts w:ascii="宋体" w:hAnsi="宋体"/>
      <w:kern w:val="0"/>
      <w:sz w:val="24"/>
    </w:rPr>
  </w:style>
  <w:style w:type="character" w:customStyle="1" w:styleId="19">
    <w:name w:val="要点1"/>
    <w:basedOn w:val="20"/>
    <w:link w:val="1"/>
    <w:qFormat/>
    <w:uiPriority w:val="0"/>
    <w:rPr>
      <w:rFonts w:ascii="Calibri" w:hAnsi="Calibri" w:eastAsia="宋体" w:cs="Times New Roman"/>
      <w:kern w:val="2"/>
      <w:sz w:val="21"/>
      <w:szCs w:val="24"/>
      <w:lang w:val="en-US" w:eastAsia="zh-CN" w:bidi="ar-SA"/>
    </w:rPr>
  </w:style>
  <w:style w:type="character" w:customStyle="1" w:styleId="20">
    <w:name w:val="默认段落字体1"/>
    <w:link w:val="1"/>
    <w:semiHidden/>
    <w:qFormat/>
    <w:uiPriority w:val="0"/>
  </w:style>
  <w:style w:type="paragraph" w:customStyle="1" w:styleId="21">
    <w:name w:val="页脚1"/>
    <w:basedOn w:val="1"/>
    <w:qFormat/>
    <w:uiPriority w:val="0"/>
    <w:pPr>
      <w:tabs>
        <w:tab w:val="center" w:pos="4153"/>
        <w:tab w:val="right" w:pos="8306"/>
      </w:tabs>
      <w:snapToGrid w:val="0"/>
      <w:jc w:val="left"/>
    </w:pPr>
    <w:rPr>
      <w:sz w:val="18"/>
      <w:szCs w:val="18"/>
    </w:rPr>
  </w:style>
  <w:style w:type="paragraph" w:customStyle="1" w:styleId="22">
    <w:name w:val="页眉1"/>
    <w:basedOn w:val="1"/>
    <w:qFormat/>
    <w:uiPriority w:val="0"/>
    <w:pPr>
      <w:pBdr>
        <w:bottom w:val="single" w:color="000000" w:sz="6" w:space="1"/>
      </w:pBdr>
      <w:tabs>
        <w:tab w:val="center" w:pos="4153"/>
        <w:tab w:val="right" w:pos="8306"/>
      </w:tabs>
      <w:snapToGrid w:val="0"/>
      <w:jc w:val="center"/>
    </w:pPr>
    <w:rPr>
      <w:sz w:val="18"/>
      <w:szCs w:val="18"/>
    </w:rPr>
  </w:style>
  <w:style w:type="character" w:customStyle="1" w:styleId="23">
    <w:name w:val="普通(网站) Char"/>
    <w:link w:val="9"/>
    <w:qFormat/>
    <w:uiPriority w:val="99"/>
    <w:rPr>
      <w:rFonts w:ascii="宋体" w:hAnsi="宋体" w:cs="宋体"/>
      <w:kern w:val="0"/>
      <w:sz w:val="24"/>
    </w:rPr>
  </w:style>
  <w:style w:type="character" w:customStyle="1" w:styleId="24">
    <w:name w:val="普通(网站)1 Char"/>
    <w:link w:val="18"/>
    <w:qFormat/>
    <w:uiPriority w:val="0"/>
    <w:rPr>
      <w:rFonts w:ascii="宋体" w:hAnsi="宋体"/>
      <w:kern w:val="0"/>
      <w:sz w:val="24"/>
    </w:rPr>
  </w:style>
  <w:style w:type="paragraph" w:customStyle="1" w:styleId="25">
    <w:name w:val="Table Paragraph"/>
    <w:basedOn w:val="1"/>
    <w:qFormat/>
    <w:uiPriority w:val="1"/>
    <w:pPr>
      <w:autoSpaceDE w:val="0"/>
      <w:autoSpaceDN w:val="0"/>
      <w:jc w:val="left"/>
    </w:pPr>
    <w:rPr>
      <w:rFonts w:ascii="宋体" w:hAnsi="宋体" w:eastAsia="宋体" w:cs="宋体"/>
      <w:kern w:val="0"/>
      <w:sz w:val="22"/>
      <w:szCs w:val="22"/>
      <w:lang w:val="zh-CN" w:bidi="zh-CN"/>
    </w:rPr>
  </w:style>
  <w:style w:type="character" w:customStyle="1" w:styleId="26">
    <w:name w:val="apple-converted-space"/>
    <w:basedOn w:val="13"/>
    <w:qFormat/>
    <w:uiPriority w:val="0"/>
  </w:style>
  <w:style w:type="paragraph" w:customStyle="1" w:styleId="27">
    <w:name w:val="列出段落1"/>
    <w:basedOn w:val="1"/>
    <w:qFormat/>
    <w:uiPriority w:val="99"/>
    <w:pPr>
      <w:ind w:firstLine="420" w:firstLineChars="200"/>
    </w:pPr>
    <w:rPr>
      <w:rFonts w:ascii="Times New Roman" w:hAnsi="Times New Roman" w:eastAsia="宋体" w:cs="Times New Roman"/>
      <w:szCs w:val="20"/>
    </w:rPr>
  </w:style>
  <w:style w:type="paragraph" w:customStyle="1" w:styleId="28">
    <w:name w:val="Table Text"/>
    <w:basedOn w:val="1"/>
    <w:semiHidden/>
    <w:qFormat/>
    <w:uiPriority w:val="0"/>
    <w:rPr>
      <w:rFonts w:ascii="微软雅黑" w:hAnsi="微软雅黑" w:eastAsia="微软雅黑" w:cs="微软雅黑"/>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6599</Words>
  <Characters>6743</Characters>
  <Lines>50</Lines>
  <Paragraphs>14</Paragraphs>
  <TotalTime>2</TotalTime>
  <ScaleCrop>false</ScaleCrop>
  <LinksUpToDate>false</LinksUpToDate>
  <CharactersWithSpaces>7052</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张家界吴平平-盛世张家界(青岛)</cp:lastModifiedBy>
  <dcterms:modified xsi:type="dcterms:W3CDTF">2024-09-01T12:03:12Z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KSORubyTemplateID">
    <vt:lpwstr>6</vt:lpwstr>
  </property>
  <property fmtid="{D5CDD505-2E9C-101B-9397-08002B2CF9AE}" pid="4" name="ICV">
    <vt:lpwstr>9F6BEB926E024B8A82279F90C4CF2D0B_13</vt:lpwstr>
  </property>
</Properties>
</file>