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44F20413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-139065</wp:posOffset>
            </wp:positionV>
            <wp:extent cx="7531735" cy="10729595"/>
            <wp:effectExtent l="0" t="0" r="12065" b="14605"/>
            <wp:wrapTopAndBottom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凤凰古城(VIP接驳车+三景+苗服体验)6日游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AAD304B">
            <w:pPr>
              <w:pStyle w:val="3"/>
              <w:spacing w:line="360" w:lineRule="exact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6专属体验：凤凰古城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网红打卡【遇见翠翠】苗服体验，穿一回苗家衣服，做一次苗家阿哥阿妹........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凤凰古城《七重水幕灯光秀》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苗服体验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+苗汉服体验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酒店：长沙独家升级奢华5钻华晨豪生+张家界连住两晚奢华5钻纳百利度假酒或禾田居酒店+温情体验一晚凤凰古城网评高分5钻5G智能酒店凯盛国际或百悦浩枫温德姆酒店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69C63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1、未满20周岁需家长陪同</w:t>
            </w:r>
          </w:p>
          <w:p w14:paraId="471EA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2、70岁以上老人需年轻家属陪同,75岁以上拒收或另议。</w:t>
            </w:r>
          </w:p>
          <w:p w14:paraId="17533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3、同组70岁以上在成人价格基础上加300元/人附加费；散拼同组尽量控制在13人以内。</w:t>
            </w:r>
          </w:p>
          <w:p w14:paraId="2547B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4、聋哑人士，行动不便者，孕妇，旅游同行及家属（正地接），导游证，记者，回民 ，纯学生，75岁以上拒绝报名（特殊情况另议）</w:t>
            </w:r>
          </w:p>
          <w:p w14:paraId="715CE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5、14周岁以下只能按照儿童报名，需要什么补什么</w:t>
            </w:r>
          </w:p>
          <w:p w14:paraId="2717E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6.、如遇特殊原因客人提前离团，则按实际产生结算费用！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  <w:bookmarkStart w:id="0" w:name="_GoBack"/>
            <w:bookmarkEnd w:id="0"/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1、单房差：全程豪华5晚5钻单房差1300元/人/5晚未含，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6036</Words>
  <Characters>6202</Characters>
  <Lines>37</Lines>
  <Paragraphs>10</Paragraphs>
  <TotalTime>0</TotalTime>
  <ScaleCrop>false</ScaleCrop>
  <LinksUpToDate>false</LinksUpToDate>
  <CharactersWithSpaces>6433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Administrator</cp:lastModifiedBy>
  <dcterms:modified xsi:type="dcterms:W3CDTF">2024-09-26T02:29:52Z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RubyTemplateID">
    <vt:lpwstr>6</vt:lpwstr>
  </property>
  <property fmtid="{D5CDD505-2E9C-101B-9397-08002B2CF9AE}" pid="4" name="ICV">
    <vt:lpwstr>87ECB11FC47B498F9CF91531ED69A5C1_13</vt:lpwstr>
  </property>
</Properties>
</file>