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481778AE">
      <w:pPr>
        <w:pStyle w:val="5"/>
        <w:jc w:val="both"/>
        <w:rPr>
          <w:rFonts w:hint="eastAsia" w:ascii="宋体" w:hAnsi="宋体" w:cs="宋体"/>
          <w:kern w:val="0"/>
          <w:sz w:val="18"/>
          <w:szCs w:val="18"/>
          <w:lang w:eastAsia="zh-CN"/>
        </w:rPr>
      </w:pP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895F85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603336CE">
            <w:pPr>
              <w:pStyle w:val="5"/>
              <w:jc w:val="both"/>
              <w:rPr>
                <w:rFonts w:hint="eastAsia" w:ascii="宋体" w:hAnsi="宋体" w:cs="宋体"/>
                <w:kern w:val="0"/>
                <w:sz w:val="18"/>
                <w:szCs w:val="18"/>
                <w:lang w:eastAsia="zh-CN"/>
              </w:rPr>
            </w:pPr>
          </w:p>
          <w:p w14:paraId="0CBF38D9">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恋上郴州</w:t>
            </w:r>
            <w:r>
              <w:rPr>
                <w:rFonts w:hint="eastAsia" w:ascii="微软雅黑" w:hAnsi="微软雅黑" w:eastAsia="微软雅黑" w:cs="微软雅黑"/>
                <w:b/>
                <w:bCs/>
                <w:color w:val="00B050"/>
                <w:sz w:val="52"/>
                <w:szCs w:val="52"/>
              </w:rPr>
              <w:t>】</w:t>
            </w:r>
          </w:p>
        </w:tc>
      </w:tr>
      <w:tr w14:paraId="18C414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11F4CC72">
            <w:pPr>
              <w:spacing w:line="360" w:lineRule="auto"/>
              <w:ind w:right="-260" w:rightChars="-124"/>
              <w:jc w:val="center"/>
              <w:rPr>
                <w:b/>
                <w:color w:val="FF0000"/>
                <w:sz w:val="28"/>
                <w:szCs w:val="28"/>
              </w:rPr>
            </w:pPr>
            <w:r>
              <w:rPr>
                <w:rFonts w:hint="eastAsia" w:ascii="微软雅黑" w:hAnsi="微软雅黑" w:eastAsia="微软雅黑" w:cs="微软雅黑"/>
                <w:b/>
                <w:bCs/>
                <w:color w:val="00B050"/>
                <w:sz w:val="30"/>
                <w:szCs w:val="30"/>
                <w:lang w:val="en-US" w:eastAsia="zh-CN"/>
              </w:rPr>
              <w:t>长沙/白廊游船大东江/网红雾漫小东江/龙景峡谷/网红高椅岭/网红莽山五指峰/裕后街/长卷文化园长沙6日游</w:t>
            </w:r>
          </w:p>
        </w:tc>
      </w:tr>
      <w:tr w14:paraId="5126359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96" w:hRule="atLeast"/>
        </w:trPr>
        <w:tc>
          <w:tcPr>
            <w:tcW w:w="11628" w:type="dxa"/>
            <w:gridSpan w:val="6"/>
            <w:tcBorders>
              <w:bottom w:val="single" w:color="auto" w:sz="4" w:space="0"/>
            </w:tcBorders>
          </w:tcPr>
          <w:p w14:paraId="022B244F">
            <w:pPr>
              <w:spacing w:line="360" w:lineRule="exact"/>
              <w:ind w:right="-105" w:rightChars="-50"/>
              <w:rPr>
                <w:rFonts w:hint="eastAsia" w:ascii="微软雅黑" w:hAnsi="微软雅黑" w:eastAsia="微软雅黑" w:cs="微软雅黑"/>
                <w:b/>
                <w:bCs/>
                <w:color w:val="FF0000"/>
                <w:szCs w:val="21"/>
              </w:rPr>
            </w:pPr>
          </w:p>
          <w:p w14:paraId="26678458">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3360" behindDoc="0" locked="0" layoutInCell="1" allowOverlap="1">
                  <wp:simplePos x="0" y="0"/>
                  <wp:positionH relativeFrom="page">
                    <wp:posOffset>109855</wp:posOffset>
                  </wp:positionH>
                  <wp:positionV relativeFrom="paragraph">
                    <wp:posOffset>-264160</wp:posOffset>
                  </wp:positionV>
                  <wp:extent cx="7527925" cy="10641330"/>
                  <wp:effectExtent l="0" t="0" r="635" b="11430"/>
                  <wp:wrapSquare wrapText="bothSides"/>
                  <wp:docPr id="15329662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966292" name="图片 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E569F14">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4384" behindDoc="0" locked="0" layoutInCell="1" allowOverlap="1">
                  <wp:simplePos x="0" y="0"/>
                  <wp:positionH relativeFrom="page">
                    <wp:posOffset>-100965</wp:posOffset>
                  </wp:positionH>
                  <wp:positionV relativeFrom="paragraph">
                    <wp:posOffset>-813435</wp:posOffset>
                  </wp:positionV>
                  <wp:extent cx="7527925" cy="10641330"/>
                  <wp:effectExtent l="0" t="0" r="635" b="11430"/>
                  <wp:wrapSquare wrapText="bothSides"/>
                  <wp:docPr id="2889316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31670" name="图片 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24B6A79">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5408" behindDoc="0" locked="0" layoutInCell="1" allowOverlap="1">
                  <wp:simplePos x="0" y="0"/>
                  <wp:positionH relativeFrom="page">
                    <wp:posOffset>-73025</wp:posOffset>
                  </wp:positionH>
                  <wp:positionV relativeFrom="paragraph">
                    <wp:posOffset>-6350</wp:posOffset>
                  </wp:positionV>
                  <wp:extent cx="7527925" cy="10641330"/>
                  <wp:effectExtent l="0" t="0" r="635" b="11430"/>
                  <wp:wrapSquare wrapText="bothSides"/>
                  <wp:docPr id="15603434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43412" name="图片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637FA6D8">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6432" behindDoc="0" locked="0" layoutInCell="1" allowOverlap="1">
                  <wp:simplePos x="0" y="0"/>
                  <wp:positionH relativeFrom="page">
                    <wp:posOffset>-68580</wp:posOffset>
                  </wp:positionH>
                  <wp:positionV relativeFrom="paragraph">
                    <wp:posOffset>-386715</wp:posOffset>
                  </wp:positionV>
                  <wp:extent cx="7527925" cy="10641330"/>
                  <wp:effectExtent l="0" t="0" r="635" b="11430"/>
                  <wp:wrapSquare wrapText="bothSides"/>
                  <wp:docPr id="8614674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67439" name="图片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4B98BC0D">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7456" behindDoc="0" locked="0" layoutInCell="1" allowOverlap="1">
                  <wp:simplePos x="0" y="0"/>
                  <wp:positionH relativeFrom="page">
                    <wp:posOffset>-62865</wp:posOffset>
                  </wp:positionH>
                  <wp:positionV relativeFrom="paragraph">
                    <wp:posOffset>-386715</wp:posOffset>
                  </wp:positionV>
                  <wp:extent cx="7527925" cy="10641330"/>
                  <wp:effectExtent l="0" t="0" r="635" b="11430"/>
                  <wp:wrapSquare wrapText="bothSides"/>
                  <wp:docPr id="21443502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50276" name="图片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05286EB">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8480" behindDoc="0" locked="0" layoutInCell="1" allowOverlap="1">
                  <wp:simplePos x="0" y="0"/>
                  <wp:positionH relativeFrom="page">
                    <wp:posOffset>-100965</wp:posOffset>
                  </wp:positionH>
                  <wp:positionV relativeFrom="paragraph">
                    <wp:posOffset>-355600</wp:posOffset>
                  </wp:positionV>
                  <wp:extent cx="7527925" cy="10641330"/>
                  <wp:effectExtent l="0" t="0" r="635" b="11430"/>
                  <wp:wrapSquare wrapText="bothSides"/>
                  <wp:docPr id="7160668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66865" name="图片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452DE51E">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9504" behindDoc="0" locked="0" layoutInCell="1" allowOverlap="1">
                  <wp:simplePos x="0" y="0"/>
                  <wp:positionH relativeFrom="page">
                    <wp:posOffset>-29210</wp:posOffset>
                  </wp:positionH>
                  <wp:positionV relativeFrom="paragraph">
                    <wp:posOffset>1270</wp:posOffset>
                  </wp:positionV>
                  <wp:extent cx="7527925" cy="10641330"/>
                  <wp:effectExtent l="0" t="0" r="635" b="11430"/>
                  <wp:wrapSquare wrapText="bothSides"/>
                  <wp:docPr id="12768165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16530" name="图片 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1C4E34FA">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0528"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9726306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30625" name="图片 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11458C7A">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1552"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21375214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521451" name="图片 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B4F7356">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2576"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6110454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045495" name="图片 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7486E7A9">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3600" behindDoc="0" locked="0" layoutInCell="1" allowOverlap="1">
                  <wp:simplePos x="0" y="0"/>
                  <wp:positionH relativeFrom="page">
                    <wp:posOffset>-58420</wp:posOffset>
                  </wp:positionH>
                  <wp:positionV relativeFrom="paragraph">
                    <wp:posOffset>8255</wp:posOffset>
                  </wp:positionV>
                  <wp:extent cx="7527925" cy="10641330"/>
                  <wp:effectExtent l="0" t="0" r="635" b="11430"/>
                  <wp:wrapSquare wrapText="bothSides"/>
                  <wp:docPr id="7199734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73445" name="图片 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659C30E1">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4624" behindDoc="0" locked="0" layoutInCell="1" allowOverlap="1">
                  <wp:simplePos x="0" y="0"/>
                  <wp:positionH relativeFrom="page">
                    <wp:posOffset>-22225</wp:posOffset>
                  </wp:positionH>
                  <wp:positionV relativeFrom="paragraph">
                    <wp:posOffset>1270</wp:posOffset>
                  </wp:positionV>
                  <wp:extent cx="7527925" cy="10641330"/>
                  <wp:effectExtent l="0" t="0" r="635" b="11430"/>
                  <wp:wrapSquare wrapText="bothSides"/>
                  <wp:docPr id="4264646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464631" name="图片 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38E3A7DF">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1F497D"/>
                <w:sz w:val="21"/>
                <w:szCs w:val="21"/>
              </w:rPr>
              <w:t>探：“美食之都、文化之都、娱乐之都”——</w:t>
            </w:r>
            <w:r>
              <w:rPr>
                <w:rFonts w:hint="eastAsia" w:ascii="微软雅黑" w:hAnsi="微软雅黑" w:eastAsia="微软雅黑" w:cs="微软雅黑"/>
                <w:b/>
                <w:bCs/>
                <w:color w:val="FF0000"/>
                <w:sz w:val="21"/>
                <w:szCs w:val="21"/>
              </w:rPr>
              <w:t>长沙</w:t>
            </w:r>
          </w:p>
          <w:p w14:paraId="10ABF1A7">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1F497D"/>
                <w:sz w:val="21"/>
                <w:szCs w:val="21"/>
              </w:rPr>
              <w:t>觅：“山水画卷，中国南脊， 奇幻仙境第一山” ——</w:t>
            </w:r>
            <w:r>
              <w:rPr>
                <w:rFonts w:hint="eastAsia" w:ascii="微软雅黑" w:hAnsi="微软雅黑" w:eastAsia="微软雅黑" w:cs="微软雅黑"/>
                <w:b/>
                <w:bCs/>
                <w:color w:val="FF0000"/>
                <w:sz w:val="21"/>
                <w:szCs w:val="21"/>
              </w:rPr>
              <w:t>莽山（五指峰）</w:t>
            </w:r>
          </w:p>
          <w:p w14:paraId="2F624CC4">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1F497D"/>
                <w:sz w:val="21"/>
                <w:szCs w:val="21"/>
                <w:lang w:val="en-US"/>
              </w:rPr>
              <w:t>打卡“摄影发烧友的最佳拍摄地，国家5A级旅游景区”——</w:t>
            </w:r>
            <w:r>
              <w:rPr>
                <w:rFonts w:hint="eastAsia" w:ascii="微软雅黑" w:hAnsi="微软雅黑" w:eastAsia="微软雅黑" w:cs="微软雅黑"/>
                <w:b/>
                <w:bCs/>
                <w:color w:val="FF0000"/>
                <w:sz w:val="21"/>
                <w:szCs w:val="21"/>
                <w:lang w:val="en-US"/>
              </w:rPr>
              <w:t>东江湖.雾漫小东江</w:t>
            </w:r>
          </w:p>
          <w:p w14:paraId="4426A289">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打卡“抖音最红，水上丹霞地貌，一个被上帝遗忘的地方”——</w:t>
            </w:r>
            <w:r>
              <w:rPr>
                <w:rFonts w:hint="eastAsia" w:ascii="微软雅黑" w:hAnsi="微软雅黑" w:eastAsia="微软雅黑" w:cs="微软雅黑"/>
                <w:b/>
                <w:bCs/>
                <w:color w:val="FF0000"/>
                <w:sz w:val="21"/>
                <w:szCs w:val="21"/>
                <w:lang w:val="en-US"/>
              </w:rPr>
              <w:t>水上丹霞.高椅岭</w:t>
            </w:r>
          </w:p>
          <w:p w14:paraId="62A467B6">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管家服务</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全程专车专用不套团，优秀导游保驾护航</w:t>
            </w:r>
          </w:p>
          <w:p w14:paraId="171E2AF5">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舌尖美食</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东江湖三文鱼宴+特色杀猪粉</w:t>
            </w:r>
          </w:p>
          <w:p w14:paraId="427DAB79">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精选住宿</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全程入住准四或精选舒适型酒店</w:t>
            </w:r>
          </w:p>
          <w:p w14:paraId="7BA755E9">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宋体" w:hAnsi="宋体" w:eastAsia="宋体" w:cs="宋体"/>
                <w:b/>
                <w:kern w:val="0"/>
                <w:sz w:val="24"/>
                <w:szCs w:val="24"/>
                <w:lang w:val="en-US" w:eastAsia="zh-CN"/>
              </w:rPr>
            </w:pPr>
            <w:r>
              <w:rPr>
                <w:rFonts w:hint="eastAsia" w:ascii="微软雅黑" w:hAnsi="微软雅黑" w:eastAsia="微软雅黑" w:cs="微软雅黑"/>
                <w:b/>
                <w:bCs/>
                <w:color w:val="1F497D"/>
                <w:sz w:val="21"/>
                <w:szCs w:val="21"/>
              </w:rPr>
              <w:t>超值赠送</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价值150元高椅岭航拍+莽山索道往返240元+接驳车10元+东江湖景交30元</w:t>
            </w:r>
          </w:p>
        </w:tc>
      </w:tr>
      <w:tr w14:paraId="3A395E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9D910F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0C45D8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1553AA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BE95C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5F6A80F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E268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01FA4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8DC90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CD2D1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4AF5EA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6CF16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E487BF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04406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DDC573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高椅岭（特别赠送精美航拍）</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裕后街</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FF121F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8F4E4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00A3F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62219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郴州</w:t>
            </w:r>
          </w:p>
        </w:tc>
      </w:tr>
      <w:tr w14:paraId="76507F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AE5A5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D</w:t>
            </w:r>
            <w:r>
              <w:rPr>
                <w:rFonts w:hint="eastAsia" w:ascii="微软雅黑" w:hAnsi="微软雅黑" w:eastAsia="微软雅黑" w:cs="微软雅黑"/>
                <w:b/>
                <w:bCs/>
                <w:sz w:val="21"/>
                <w:szCs w:val="21"/>
                <w:lang w:val="en-US" w:eastAsia="zh-CN"/>
              </w:rPr>
              <w:t>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C29BBA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莽山国家森林公园（五指峰景区）</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F5F01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69939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13E28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61A57F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郴州</w:t>
            </w:r>
          </w:p>
        </w:tc>
      </w:tr>
      <w:tr w14:paraId="01996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D9ACA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D</w:t>
            </w:r>
            <w:r>
              <w:rPr>
                <w:rFonts w:hint="eastAsia" w:ascii="微软雅黑" w:hAnsi="微软雅黑" w:eastAsia="微软雅黑" w:cs="微软雅黑"/>
                <w:b/>
                <w:bCs/>
                <w:sz w:val="21"/>
                <w:szCs w:val="21"/>
                <w:lang w:val="en-US" w:eastAsia="zh-CN"/>
              </w:rPr>
              <w:t>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7E6660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白廊船游大东江</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东江湖景区</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长卷文化园</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592E8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AA8DA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5E9F6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535D3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郴州</w:t>
            </w:r>
          </w:p>
        </w:tc>
      </w:tr>
      <w:tr w14:paraId="4CB8AD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E3CA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D</w:t>
            </w:r>
            <w:r>
              <w:rPr>
                <w:rFonts w:hint="eastAsia" w:ascii="微软雅黑" w:hAnsi="微软雅黑" w:eastAsia="微软雅黑" w:cs="微软雅黑"/>
                <w:b/>
                <w:bCs/>
                <w:sz w:val="21"/>
                <w:szCs w:val="21"/>
                <w:lang w:val="en-US" w:eastAsia="zh-CN"/>
              </w:rPr>
              <w:t>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20FF0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永兴银楼</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321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4D228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4718D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B0FEB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长沙</w:t>
            </w:r>
          </w:p>
        </w:tc>
      </w:tr>
      <w:tr w14:paraId="51DEC79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756549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AF6F37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058F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C7301B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95C6AC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42F569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温馨的家</w:t>
            </w:r>
          </w:p>
        </w:tc>
      </w:tr>
      <w:tr w14:paraId="08A258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483FE23">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02A86A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B6B0751">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62F6C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74042EB">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32C4087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6A7F31B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7EC70D3">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3832754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0206A1E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23336EB">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color w:val="000000"/>
                <w:sz w:val="28"/>
                <w:szCs w:val="28"/>
                <w:shd w:val="clear" w:color="auto" w:fill="FFFFFF"/>
              </w:rPr>
              <w:drawing>
                <wp:anchor distT="0" distB="0" distL="114300" distR="114300" simplePos="0" relativeHeight="251659264" behindDoc="0" locked="0" layoutInCell="1" allowOverlap="1">
                  <wp:simplePos x="0" y="0"/>
                  <wp:positionH relativeFrom="page">
                    <wp:posOffset>-6350</wp:posOffset>
                  </wp:positionH>
                  <wp:positionV relativeFrom="page">
                    <wp:posOffset>315595</wp:posOffset>
                  </wp:positionV>
                  <wp:extent cx="7328535" cy="1769110"/>
                  <wp:effectExtent l="0" t="0" r="5715" b="2540"/>
                  <wp:wrapTopAndBottom/>
                  <wp:docPr id="1" name="图片 24" descr="湖南米粉街合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4" descr="湖南米粉街合集"/>
                          <pic:cNvPicPr>
                            <a:picLocks noChangeAspect="1"/>
                          </pic:cNvPicPr>
                        </pic:nvPicPr>
                        <pic:blipFill>
                          <a:blip r:embed="rId19" cstate="print"/>
                          <a:stretch>
                            <a:fillRect/>
                          </a:stretch>
                        </pic:blipFill>
                        <pic:spPr>
                          <a:xfrm>
                            <a:off x="0" y="0"/>
                            <a:ext cx="7328535" cy="1769110"/>
                          </a:xfrm>
                          <a:prstGeom prst="rect">
                            <a:avLst/>
                          </a:prstGeom>
                          <a:noFill/>
                          <a:ln>
                            <a:noFill/>
                          </a:ln>
                        </pic:spPr>
                      </pic:pic>
                    </a:graphicData>
                  </a:graphic>
                </wp:anchor>
              </w:drawing>
            </w: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0CC843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0A73BD2">
            <w:pPr>
              <w:spacing w:line="360" w:lineRule="auto"/>
              <w:rPr>
                <w:rFonts w:hint="eastAsia" w:ascii="宋体" w:hAnsi="宋体" w:eastAsia="微软雅黑"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二</w:t>
            </w:r>
            <w:r>
              <w:rPr>
                <w:rFonts w:hint="eastAsia" w:ascii="微软雅黑" w:hAnsi="微软雅黑" w:eastAsia="微软雅黑" w:cs="微软雅黑"/>
                <w:b/>
                <w:bCs/>
                <w:color w:val="FFFFFF"/>
                <w:sz w:val="28"/>
                <w:szCs w:val="28"/>
              </w:rPr>
              <w:t>天  长沙→高椅岭（特别赠送精美航拍）→瓦窑坪</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/中/晚</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郴州</w:t>
            </w:r>
          </w:p>
        </w:tc>
      </w:tr>
      <w:tr w14:paraId="050E401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69538CC">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长沙统一时间集合乘坐车前往郴州（里程约299KM，车程约 4小时）苏仙区。抵达后用中餐，中餐后前往游览一个被上帝遗忘的地方--百里丹霞</w:t>
            </w:r>
            <w:r>
              <w:rPr>
                <w:rFonts w:hint="eastAsia" w:ascii="微软雅黑" w:hAnsi="微软雅黑" w:eastAsia="微软雅黑" w:cs="微软雅黑"/>
                <w:b/>
                <w:bCs/>
                <w:color w:val="FF0000"/>
                <w:kern w:val="2"/>
                <w:sz w:val="21"/>
                <w:szCs w:val="21"/>
                <w:lang w:val="en-US" w:eastAsia="zh-CN" w:bidi="ar-SA"/>
              </w:rPr>
              <w:t>【高椅岭风景区】</w:t>
            </w:r>
            <w:r>
              <w:rPr>
                <w:rFonts w:hint="eastAsia" w:ascii="微软雅黑" w:hAnsi="微软雅黑" w:eastAsia="微软雅黑" w:cs="微软雅黑"/>
                <w:sz w:val="21"/>
                <w:szCs w:val="21"/>
              </w:rPr>
              <w:t>（游览约 3 小时，含景区大门票）。高椅岭，是郴州丹霞地貌中最突出的代表和美的象征。集“雄、奇、险、峻、秀”于一身，聚山、水、 林、洞、佛为一体，是一个赏之叫绝、百走不厌的户外休闲摄影胜地。有人评价郴州的丹霞景观为“世之所有，此尽有之”，高椅岭丹霞地貌之“美”，不仅 美在山水相融、树石相间、犬牙交错、大气磅礴、惊而不险，更美在墨绿色的“天池”环绕着一只在水 面张牙舞爪的“巨蜥”。景区内山势陡峭，全程需徒步游览，请务必量力而行！！！晚上推荐裕后街自由活动（公司派车统一从酒店送，但需自行返回酒店），裕后街是郴州现存最古老的一条古街，它积攒着郴州的的历史渊源、湘南历史古韵，印证着古老的湘南文明，是最能代表湘南文化与郴州特色的地方。这里不仅是郴州的古老风情街，更是湘南饮食网红街，可在这里自由逛街品尝独具特色的湘南小吃和美事。</w:t>
            </w:r>
          </w:p>
          <w:p w14:paraId="1D52CA51">
            <w:pPr>
              <w:widowControl/>
              <w:spacing w:line="360" w:lineRule="exact"/>
              <w:ind w:firstLine="420" w:firstLineChars="200"/>
              <w:jc w:val="left"/>
              <w:rPr>
                <w:rFonts w:hint="eastAsia" w:ascii="微软雅黑" w:hAnsi="微软雅黑" w:eastAsia="微软雅黑" w:cs="微软雅黑"/>
                <w:b/>
                <w:color w:val="00B0F0"/>
                <w:sz w:val="18"/>
                <w:szCs w:val="18"/>
              </w:rPr>
            </w:pPr>
            <w:r>
              <w:drawing>
                <wp:anchor distT="0" distB="0" distL="114300" distR="114300" simplePos="0" relativeHeight="251661312" behindDoc="0" locked="0" layoutInCell="1" allowOverlap="1">
                  <wp:simplePos x="0" y="0"/>
                  <wp:positionH relativeFrom="column">
                    <wp:posOffset>4940300</wp:posOffset>
                  </wp:positionH>
                  <wp:positionV relativeFrom="paragraph">
                    <wp:posOffset>135255</wp:posOffset>
                  </wp:positionV>
                  <wp:extent cx="2358390" cy="1620520"/>
                  <wp:effectExtent l="0" t="0" r="3810" b="17780"/>
                  <wp:wrapNone/>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0"/>
                          <a:stretch>
                            <a:fillRect/>
                          </a:stretch>
                        </pic:blipFill>
                        <pic:spPr>
                          <a:xfrm>
                            <a:off x="0" y="0"/>
                            <a:ext cx="2358390" cy="1620520"/>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662336" behindDoc="0" locked="0" layoutInCell="1" allowOverlap="1">
                  <wp:simplePos x="0" y="0"/>
                  <wp:positionH relativeFrom="column">
                    <wp:posOffset>2495550</wp:posOffset>
                  </wp:positionH>
                  <wp:positionV relativeFrom="paragraph">
                    <wp:posOffset>129540</wp:posOffset>
                  </wp:positionV>
                  <wp:extent cx="2428875" cy="1615440"/>
                  <wp:effectExtent l="0" t="0" r="9525" b="3810"/>
                  <wp:wrapNone/>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21"/>
                          <a:stretch>
                            <a:fillRect/>
                          </a:stretch>
                        </pic:blipFill>
                        <pic:spPr>
                          <a:xfrm>
                            <a:off x="0" y="0"/>
                            <a:ext cx="2428875" cy="1615440"/>
                          </a:xfrm>
                          <a:prstGeom prst="rect">
                            <a:avLst/>
                          </a:prstGeom>
                          <a:noFill/>
                          <a:ln w="9525">
                            <a:noFill/>
                          </a:ln>
                        </pic:spPr>
                      </pic:pic>
                    </a:graphicData>
                  </a:graphic>
                </wp:anchor>
              </w:drawing>
            </w:r>
            <w:r>
              <w:rPr>
                <w:sz w:val="21"/>
                <w:szCs w:val="21"/>
              </w:rPr>
              <w:drawing>
                <wp:anchor distT="0" distB="0" distL="114300" distR="114300" simplePos="0" relativeHeight="251660288" behindDoc="0" locked="0" layoutInCell="1" allowOverlap="1">
                  <wp:simplePos x="0" y="0"/>
                  <wp:positionH relativeFrom="column">
                    <wp:posOffset>97790</wp:posOffset>
                  </wp:positionH>
                  <wp:positionV relativeFrom="paragraph">
                    <wp:posOffset>160020</wp:posOffset>
                  </wp:positionV>
                  <wp:extent cx="2323465" cy="1584960"/>
                  <wp:effectExtent l="0" t="0" r="635" b="15240"/>
                  <wp:wrapNone/>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2"/>
                          <a:stretch>
                            <a:fillRect/>
                          </a:stretch>
                        </pic:blipFill>
                        <pic:spPr>
                          <a:xfrm>
                            <a:off x="0" y="0"/>
                            <a:ext cx="2323465" cy="1584960"/>
                          </a:xfrm>
                          <a:prstGeom prst="rect">
                            <a:avLst/>
                          </a:prstGeom>
                          <a:noFill/>
                          <a:ln>
                            <a:noFill/>
                          </a:ln>
                        </pic:spPr>
                      </pic:pic>
                    </a:graphicData>
                  </a:graphic>
                </wp:anchor>
              </w:drawing>
            </w:r>
            <w:r>
              <w:rPr>
                <w:rFonts w:hint="eastAsia" w:ascii="微软雅黑" w:hAnsi="微软雅黑" w:eastAsia="微软雅黑" w:cs="微软雅黑"/>
                <w:b/>
                <w:color w:val="00B0F0"/>
                <w:sz w:val="21"/>
                <w:szCs w:val="21"/>
                <w:lang w:val="en-US" w:eastAsia="zh-CN"/>
              </w:rPr>
              <w:t xml:space="preserve"> </w:t>
            </w:r>
          </w:p>
          <w:p w14:paraId="06A5188D">
            <w:pPr>
              <w:widowControl/>
              <w:spacing w:line="360" w:lineRule="exact"/>
              <w:ind w:firstLine="360" w:firstLineChars="200"/>
              <w:jc w:val="left"/>
              <w:rPr>
                <w:rFonts w:hint="eastAsia" w:ascii="微软雅黑" w:hAnsi="微软雅黑" w:eastAsia="微软雅黑" w:cs="微软雅黑"/>
                <w:b/>
                <w:color w:val="00B0F0"/>
                <w:sz w:val="18"/>
                <w:szCs w:val="18"/>
              </w:rPr>
            </w:pPr>
          </w:p>
          <w:p w14:paraId="5041BEEC">
            <w:pPr>
              <w:widowControl/>
              <w:spacing w:line="360" w:lineRule="exact"/>
              <w:ind w:firstLine="360" w:firstLineChars="200"/>
              <w:jc w:val="left"/>
              <w:rPr>
                <w:rFonts w:hint="eastAsia" w:ascii="微软雅黑" w:hAnsi="微软雅黑" w:eastAsia="微软雅黑" w:cs="微软雅黑"/>
                <w:b/>
                <w:color w:val="00B0F0"/>
                <w:sz w:val="18"/>
                <w:szCs w:val="18"/>
              </w:rPr>
            </w:pPr>
          </w:p>
          <w:p w14:paraId="5FB15929">
            <w:pPr>
              <w:widowControl/>
              <w:spacing w:line="360" w:lineRule="exact"/>
              <w:ind w:firstLine="360" w:firstLineChars="200"/>
              <w:jc w:val="left"/>
              <w:rPr>
                <w:rFonts w:hint="eastAsia" w:ascii="微软雅黑" w:hAnsi="微软雅黑" w:eastAsia="微软雅黑" w:cs="微软雅黑"/>
                <w:b/>
                <w:color w:val="00B0F0"/>
                <w:sz w:val="18"/>
                <w:szCs w:val="18"/>
              </w:rPr>
            </w:pPr>
          </w:p>
          <w:p w14:paraId="1C3A53E4">
            <w:pPr>
              <w:widowControl/>
              <w:spacing w:line="360" w:lineRule="exact"/>
              <w:ind w:firstLine="360" w:firstLineChars="200"/>
              <w:jc w:val="left"/>
              <w:rPr>
                <w:rFonts w:hint="eastAsia" w:ascii="微软雅黑" w:hAnsi="微软雅黑" w:eastAsia="微软雅黑" w:cs="微软雅黑"/>
                <w:b/>
                <w:color w:val="00B0F0"/>
                <w:sz w:val="18"/>
                <w:szCs w:val="18"/>
              </w:rPr>
            </w:pPr>
          </w:p>
          <w:p w14:paraId="37AF0433">
            <w:pPr>
              <w:widowControl/>
              <w:spacing w:line="360" w:lineRule="exact"/>
              <w:ind w:firstLine="360" w:firstLineChars="200"/>
              <w:jc w:val="left"/>
              <w:rPr>
                <w:rFonts w:hint="eastAsia" w:ascii="微软雅黑" w:hAnsi="微软雅黑" w:eastAsia="微软雅黑" w:cs="微软雅黑"/>
                <w:b/>
                <w:color w:val="00B0F0"/>
                <w:sz w:val="18"/>
                <w:szCs w:val="18"/>
              </w:rPr>
            </w:pPr>
          </w:p>
          <w:p w14:paraId="4BCD0DDD">
            <w:pPr>
              <w:widowControl/>
              <w:spacing w:line="360" w:lineRule="exact"/>
              <w:ind w:firstLine="360" w:firstLineChars="200"/>
              <w:jc w:val="left"/>
              <w:rPr>
                <w:rFonts w:hint="eastAsia" w:ascii="微软雅黑" w:hAnsi="微软雅黑" w:eastAsia="微软雅黑" w:cs="微软雅黑"/>
                <w:b/>
                <w:color w:val="00B0F0"/>
                <w:sz w:val="18"/>
                <w:szCs w:val="18"/>
              </w:rPr>
            </w:pPr>
          </w:p>
          <w:p w14:paraId="26DFB02D">
            <w:pPr>
              <w:widowControl/>
              <w:spacing w:line="360" w:lineRule="exact"/>
              <w:ind w:firstLine="360" w:firstLineChars="200"/>
              <w:jc w:val="left"/>
              <w:rPr>
                <w:rFonts w:hint="eastAsia" w:ascii="微软雅黑" w:hAnsi="微软雅黑" w:eastAsia="微软雅黑" w:cs="微软雅黑"/>
                <w:b/>
                <w:color w:val="00B0F0"/>
                <w:sz w:val="18"/>
                <w:szCs w:val="18"/>
                <w:lang w:val="en-US" w:eastAsia="zh-CN"/>
              </w:rPr>
            </w:pPr>
          </w:p>
        </w:tc>
      </w:tr>
      <w:tr w14:paraId="6F115F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1517624C">
            <w:pPr>
              <w:spacing w:line="360" w:lineRule="auto"/>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三</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莽山国家森林公园（五指峰景区）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郴州</w:t>
            </w:r>
          </w:p>
        </w:tc>
      </w:tr>
      <w:tr w14:paraId="4A4F0D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AC2EB3B">
            <w:pPr>
              <w:keepNext w:val="0"/>
              <w:keepLines w:val="0"/>
              <w:pageBreakBefore w:val="0"/>
              <w:kinsoku/>
              <w:wordWrap/>
              <w:overflowPunct/>
              <w:topLinePunct w:val="0"/>
              <w:autoSpaceDE/>
              <w:autoSpaceDN/>
              <w:bidi w:val="0"/>
              <w:adjustRightInd w:val="0"/>
              <w:snapToGrid w:val="0"/>
              <w:spacing w:line="360" w:lineRule="exact"/>
              <w:ind w:firstLine="630" w:firstLineChars="300"/>
              <w:textAlignment w:val="auto"/>
              <w:rPr>
                <w:rFonts w:ascii="微软雅黑" w:hAnsi="微软雅黑" w:eastAsia="微软雅黑" w:cs="微软雅黑"/>
                <w:color w:val="000000" w:themeColor="text1"/>
                <w:kern w:val="0"/>
                <w:sz w:val="21"/>
                <w:szCs w:val="21"/>
                <w14:textFill>
                  <w14:solidFill>
                    <w14:schemeClr w14:val="tx1"/>
                  </w14:solidFill>
                </w14:textFill>
              </w:rPr>
            </w:pPr>
            <w:r>
              <w:rPr>
                <w:rFonts w:hint="eastAsia" w:ascii="微软雅黑" w:hAnsi="微软雅黑" w:eastAsia="微软雅黑" w:cs="微软雅黑"/>
                <w:color w:val="000000" w:themeColor="text1"/>
                <w:kern w:val="0"/>
                <w:sz w:val="21"/>
                <w:szCs w:val="21"/>
                <w14:textFill>
                  <w14:solidFill>
                    <w14:schemeClr w14:val="tx1"/>
                  </w14:solidFill>
                </w14:textFill>
              </w:rPr>
              <w:t>早餐后前往莽山风景区(车程约 2 小时)。抵达后游览中国原始生态第一山、国家 4A 级景区--</w:t>
            </w:r>
            <w:r>
              <w:rPr>
                <w:rFonts w:hint="eastAsia" w:ascii="微软雅黑" w:hAnsi="微软雅黑" w:eastAsia="微软雅黑" w:cs="微软雅黑"/>
                <w:color w:val="FF0000"/>
                <w:kern w:val="0"/>
                <w:sz w:val="21"/>
                <w:szCs w:val="21"/>
              </w:rPr>
              <w:t>【莽山国家森林公园*五指峰景区】</w:t>
            </w:r>
            <w:r>
              <w:rPr>
                <w:rFonts w:hint="eastAsia" w:ascii="微软雅黑" w:hAnsi="微软雅黑" w:eastAsia="微软雅黑" w:cs="微软雅黑"/>
                <w:color w:val="000000" w:themeColor="text1"/>
                <w:kern w:val="0"/>
                <w:sz w:val="21"/>
                <w:szCs w:val="21"/>
                <w14:textFill>
                  <w14:solidFill>
                    <w14:schemeClr w14:val="tx1"/>
                  </w14:solidFill>
                </w14:textFill>
              </w:rPr>
              <w:t>。五指峰景区有衡山之秀华山之险，有张家界之婀娜有九寨沟之碧绿。 平均海拔在 1000 米以上，山高林密，具有优越的山地森林气候条件。森林覆盖率高达 95%，负氧离子超过 10 万个/ 立方厘米。 莽山·五指峰景区有“中国南方第一森林氧吧”的称号。由中景信集团的历数三年，巨资投入、超前规划、人性设计、精工建设及匠心打造，南中国最长悬空栈道：总长约 8 公里，海拔 1400 米至 1600 米，两层栈道，全程无障碍观光环线，登高山、临绝壁、如履平地，尽享“非人”奇遇，乘坐中国目前最长索道单线的观光缆。品尝郴州独特美食——</w:t>
            </w:r>
            <w:r>
              <w:rPr>
                <w:rFonts w:hint="eastAsia" w:ascii="微软雅黑" w:hAnsi="微软雅黑" w:eastAsia="微软雅黑" w:cs="微软雅黑"/>
                <w:color w:val="FF0000"/>
                <w:kern w:val="0"/>
                <w:sz w:val="21"/>
                <w:szCs w:val="21"/>
              </w:rPr>
              <w:t>杀猪粉</w:t>
            </w:r>
            <w:r>
              <w:rPr>
                <w:rFonts w:hint="eastAsia" w:ascii="微软雅黑" w:hAnsi="微软雅黑" w:eastAsia="微软雅黑" w:cs="微软雅黑"/>
                <w:color w:val="000000" w:themeColor="text1"/>
                <w:kern w:val="0"/>
                <w:sz w:val="21"/>
                <w:szCs w:val="21"/>
                <w14:textFill>
                  <w14:solidFill>
                    <w14:schemeClr w14:val="tx1"/>
                  </w14:solidFill>
                </w14:textFill>
              </w:rPr>
              <w:t>。</w:t>
            </w:r>
          </w:p>
          <w:p w14:paraId="52C71FC8">
            <w:pPr>
              <w:adjustRightInd w:val="0"/>
              <w:snapToGrid w:val="0"/>
              <w:spacing w:line="288" w:lineRule="auto"/>
              <w:rPr>
                <w:rFonts w:ascii="微软雅黑" w:hAnsi="微软雅黑" w:eastAsia="微软雅黑" w:cs="微软雅黑"/>
                <w:color w:val="000000" w:themeColor="text1"/>
                <w:kern w:val="0"/>
                <w:sz w:val="24"/>
                <w:szCs w:val="24"/>
                <w14:textFill>
                  <w14:solidFill>
                    <w14:schemeClr w14:val="tx1"/>
                  </w14:solidFill>
                </w14:textFill>
              </w:rPr>
            </w:pPr>
            <w:r>
              <w:rPr>
                <w:rFonts w:ascii="微软雅黑" w:hAnsi="微软雅黑" w:eastAsia="微软雅黑" w:cs="微软雅黑"/>
                <w:color w:val="000000" w:themeColor="text1"/>
                <w:kern w:val="0"/>
                <w:sz w:val="24"/>
                <w:szCs w:val="24"/>
                <w14:textFill>
                  <w14:solidFill>
                    <w14:schemeClr w14:val="tx1"/>
                  </w14:solidFill>
                </w14:textFill>
              </w:rPr>
              <w:drawing>
                <wp:inline distT="0" distB="0" distL="0" distR="0">
                  <wp:extent cx="7301865" cy="1727835"/>
                  <wp:effectExtent l="0" t="0" r="1333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3" cstate="print"/>
                          <a:srcRect/>
                          <a:stretch>
                            <a:fillRect/>
                          </a:stretch>
                        </pic:blipFill>
                        <pic:spPr>
                          <a:xfrm>
                            <a:off x="0" y="0"/>
                            <a:ext cx="7301865" cy="1727835"/>
                          </a:xfrm>
                          <a:prstGeom prst="rect">
                            <a:avLst/>
                          </a:prstGeom>
                          <a:noFill/>
                          <a:ln w="9525">
                            <a:noFill/>
                            <a:miter lim="800000"/>
                            <a:headEnd/>
                            <a:tailEnd/>
                          </a:ln>
                        </pic:spPr>
                      </pic:pic>
                    </a:graphicData>
                  </a:graphic>
                </wp:inline>
              </w:drawing>
            </w:r>
          </w:p>
          <w:p w14:paraId="3C1B2455">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color w:val="000000" w:themeColor="text1"/>
                <w:kern w:val="0"/>
                <w:sz w:val="21"/>
                <w:szCs w:val="21"/>
                <w14:textFill>
                  <w14:solidFill>
                    <w14:schemeClr w14:val="tx1"/>
                  </w14:solidFill>
                </w14:textFill>
              </w:rPr>
            </w:pPr>
            <w:r>
              <w:rPr>
                <w:rFonts w:hint="eastAsia" w:ascii="微软雅黑" w:hAnsi="微软雅黑" w:eastAsia="微软雅黑" w:cs="微软雅黑"/>
                <w:color w:val="000000" w:themeColor="text1"/>
                <w:kern w:val="0"/>
                <w:sz w:val="21"/>
                <w:szCs w:val="21"/>
                <w14:textFill>
                  <w14:solidFill>
                    <w14:schemeClr w14:val="tx1"/>
                  </w14:solidFill>
                </w14:textFill>
              </w:rPr>
              <w:t>★观莽山新十景,一索飞渡,上下穿梭,腾云驾雾,可近观五指峰,远眺天台峰</w:t>
            </w:r>
          </w:p>
          <w:p w14:paraId="784DA133">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★看峰险、水秀、松奇、林幽、泉清、石怪、云幻、雾凇</w:t>
            </w:r>
          </w:p>
          <w:p w14:paraId="16342C02">
            <w:pPr>
              <w:keepNext w:val="0"/>
              <w:keepLines w:val="0"/>
              <w:pageBreakBefore w:val="0"/>
              <w:widowControl/>
              <w:kinsoku/>
              <w:wordWrap/>
              <w:overflowPunct/>
              <w:topLinePunct w:val="0"/>
              <w:autoSpaceDE/>
              <w:autoSpaceDN/>
              <w:bidi w:val="0"/>
              <w:spacing w:line="360" w:lineRule="exact"/>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kern w:val="0"/>
                <w:sz w:val="21"/>
                <w:szCs w:val="21"/>
              </w:rPr>
              <w:t>★</w:t>
            </w:r>
            <w:r>
              <w:rPr>
                <w:rFonts w:hint="eastAsia" w:ascii="微软雅黑" w:hAnsi="微软雅黑" w:eastAsia="微软雅黑" w:cs="微软雅黑"/>
                <w:color w:val="000000" w:themeColor="text1"/>
                <w:kern w:val="0"/>
                <w:sz w:val="21"/>
                <w:szCs w:val="21"/>
                <w14:textFill>
                  <w14:solidFill>
                    <w14:schemeClr w14:val="tx1"/>
                  </w14:solidFill>
                </w14:textFill>
              </w:rPr>
              <w:t>中餐不含，建议自备干粮或景区内自行使用（景区内仅有一个餐厅人均 40元/人起）</w:t>
            </w:r>
          </w:p>
        </w:tc>
      </w:tr>
      <w:tr w14:paraId="3D2C7C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BF147C8">
            <w:pPr>
              <w:spacing w:line="360" w:lineRule="auto"/>
              <w:rPr>
                <w:rFonts w:hint="eastAsia" w:ascii="微软雅黑" w:hAnsi="微软雅黑" w:eastAsia="微软雅黑" w:cs="微软雅黑"/>
                <w:b/>
                <w:bCs/>
                <w:color w:val="FFFFFF"/>
                <w:sz w:val="28"/>
                <w:szCs w:val="28"/>
                <w:lang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四</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白廊船游大东江→东江湖景区→长卷文化园</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用餐/早</w:t>
            </w:r>
            <w:r>
              <w:rPr>
                <w:rFonts w:hint="eastAsia" w:ascii="微软雅黑" w:hAnsi="微软雅黑" w:eastAsia="微软雅黑" w:cs="微软雅黑"/>
                <w:b/>
                <w:bCs/>
                <w:color w:val="FFFFFF"/>
                <w:sz w:val="28"/>
                <w:szCs w:val="28"/>
                <w:lang w:val="en-US" w:eastAsia="zh-CN"/>
              </w:rPr>
              <w:t>/中</w:t>
            </w:r>
            <w:r>
              <w:rPr>
                <w:rFonts w:hint="eastAsia" w:ascii="微软雅黑" w:hAnsi="微软雅黑" w:eastAsia="微软雅黑" w:cs="微软雅黑"/>
                <w:b/>
                <w:bCs/>
                <w:color w:val="FFFFFF"/>
                <w:sz w:val="28"/>
                <w:szCs w:val="28"/>
                <w:lang w:eastAsia="zh-CN"/>
              </w:rPr>
              <w:t xml:space="preserve"> </w:t>
            </w:r>
            <w:r>
              <w:rPr>
                <w:rFonts w:hint="eastAsia" w:ascii="微软雅黑" w:hAnsi="微软雅黑" w:eastAsia="微软雅黑" w:cs="微软雅黑"/>
                <w:b/>
                <w:bCs/>
                <w:color w:val="FFFFFF"/>
                <w:sz w:val="28"/>
                <w:szCs w:val="28"/>
                <w:lang w:eastAsia="zh-CN"/>
              </w:rPr>
              <w:tab/>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住宿/郴州</w:t>
            </w:r>
          </w:p>
        </w:tc>
      </w:tr>
      <w:tr w14:paraId="5C6FD9C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0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8AEB652">
            <w:pPr>
              <w:keepNext w:val="0"/>
              <w:keepLines w:val="0"/>
              <w:pageBreakBefore w:val="0"/>
              <w:widowControl w:val="0"/>
              <w:kinsoku/>
              <w:wordWrap/>
              <w:overflowPunct/>
              <w:topLinePunct w:val="0"/>
              <w:autoSpaceDE/>
              <w:autoSpaceDN/>
              <w:bidi w:val="0"/>
              <w:adjustRightInd w:val="0"/>
              <w:snapToGrid w:val="0"/>
              <w:spacing w:line="360" w:lineRule="exact"/>
              <w:ind w:firstLine="420" w:firstLineChars="200"/>
              <w:textAlignment w:val="auto"/>
              <w:rPr>
                <w:rFonts w:ascii="微软雅黑" w:hAnsi="微软雅黑" w:eastAsia="微软雅黑" w:cs="微软雅黑"/>
                <w:kern w:val="0"/>
                <w:sz w:val="21"/>
                <w:szCs w:val="21"/>
              </w:rPr>
            </w:pPr>
            <w:r>
              <w:rPr>
                <w:rFonts w:hint="eastAsia" w:ascii="微软雅黑" w:hAnsi="微软雅黑" w:eastAsia="微软雅黑" w:cs="微软雅黑"/>
                <w:kern w:val="0"/>
                <w:sz w:val="21"/>
                <w:szCs w:val="21"/>
              </w:rPr>
              <w:t>早餐后游览 5A 级旅游景区-</w:t>
            </w:r>
            <w:r>
              <w:rPr>
                <w:rFonts w:hint="eastAsia" w:ascii="微软雅黑" w:hAnsi="微软雅黑" w:eastAsia="微软雅黑" w:cs="微软雅黑"/>
                <w:b/>
                <w:bCs/>
                <w:color w:val="FF0000"/>
                <w:kern w:val="0"/>
                <w:sz w:val="21"/>
                <w:szCs w:val="21"/>
              </w:rPr>
              <w:t>【东江湖风景区】</w:t>
            </w:r>
            <w:r>
              <w:rPr>
                <w:rFonts w:hint="eastAsia" w:ascii="微软雅黑" w:hAnsi="微软雅黑" w:eastAsia="微软雅黑" w:cs="微软雅黑"/>
                <w:b/>
                <w:bCs/>
                <w:kern w:val="0"/>
                <w:sz w:val="21"/>
                <w:szCs w:val="21"/>
              </w:rPr>
              <w:t>。</w:t>
            </w:r>
            <w:r>
              <w:rPr>
                <w:rFonts w:hint="eastAsia" w:ascii="微软雅黑" w:hAnsi="微软雅黑" w:eastAsia="微软雅黑" w:cs="微软雅黑"/>
                <w:kern w:val="0"/>
                <w:sz w:val="21"/>
                <w:szCs w:val="21"/>
              </w:rPr>
              <w:t>坐景区车前往摄影发烧友的最佳拍摄地</w:t>
            </w:r>
            <w:r>
              <w:rPr>
                <w:rFonts w:hint="eastAsia" w:ascii="微软雅黑" w:hAnsi="微软雅黑" w:eastAsia="微软雅黑" w:cs="微软雅黑"/>
                <w:bCs/>
                <w:kern w:val="0"/>
                <w:sz w:val="21"/>
                <w:szCs w:val="21"/>
              </w:rPr>
              <w:t>【雾漫小东江】</w:t>
            </w:r>
            <w:r>
              <w:rPr>
                <w:rFonts w:hint="eastAsia" w:ascii="微软雅黑" w:hAnsi="微软雅黑" w:eastAsia="微软雅黑" w:cs="微软雅黑"/>
                <w:b/>
                <w:bCs/>
                <w:kern w:val="0"/>
                <w:sz w:val="21"/>
                <w:szCs w:val="21"/>
              </w:rPr>
              <w:t>，</w:t>
            </w:r>
            <w:r>
              <w:rPr>
                <w:rFonts w:hint="eastAsia" w:ascii="微软雅黑" w:hAnsi="微软雅黑" w:eastAsia="微软雅黑" w:cs="微软雅黑"/>
                <w:kern w:val="0"/>
                <w:sz w:val="21"/>
                <w:szCs w:val="21"/>
              </w:rPr>
              <w:t>沿江边栈道徒步慢游，偶遇雾漫美景，留</w:t>
            </w:r>
            <w:r>
              <w:rPr>
                <w:rFonts w:ascii="微软雅黑" w:hAnsi="微软雅黑" w:eastAsia="微软雅黑" w:cs="微软雅黑"/>
                <w:kern w:val="0"/>
                <w:sz w:val="21"/>
                <w:szCs w:val="21"/>
              </w:rPr>
              <w:t>足</w:t>
            </w:r>
            <w:r>
              <w:rPr>
                <w:rFonts w:hint="eastAsia" w:ascii="微软雅黑" w:hAnsi="微软雅黑" w:eastAsia="微软雅黑" w:cs="微软雅黑"/>
                <w:kern w:val="0"/>
                <w:sz w:val="21"/>
                <w:szCs w:val="21"/>
              </w:rPr>
              <w:t>充分拍照时间。这里常年两岸峰峦叠翠，土房、红叶、白云等自然景观形 成倒影，美丽绝伦湖面水汽蒸腾，云雾缭绕，神秘绮丽，其雾时移时凝，宛如一条被仙女挥舞着的“白练”美丽之极，堪称中华一绝。观赏雾漫小东江后车观</w:t>
            </w:r>
            <w:r>
              <w:rPr>
                <w:rFonts w:hint="eastAsia" w:ascii="微软雅黑" w:hAnsi="微软雅黑" w:eastAsia="微软雅黑" w:cs="微软雅黑"/>
                <w:b/>
                <w:bCs/>
                <w:color w:val="FF0000"/>
                <w:kern w:val="0"/>
                <w:sz w:val="21"/>
                <w:szCs w:val="21"/>
              </w:rPr>
              <w:t>【猴古山瀑布】</w:t>
            </w:r>
            <w:r>
              <w:rPr>
                <w:rFonts w:hint="eastAsia" w:ascii="微软雅黑" w:hAnsi="微软雅黑" w:eastAsia="微软雅黑" w:cs="微软雅黑"/>
                <w:kern w:val="0"/>
                <w:sz w:val="21"/>
                <w:szCs w:val="21"/>
              </w:rPr>
              <w:t>中国自行设计施工的第一座双曲薄壳高拱坝，在世界同类型大坝中 名列第三、亚洲第二的</w:t>
            </w:r>
            <w:r>
              <w:rPr>
                <w:rFonts w:hint="eastAsia" w:ascii="微软雅黑" w:hAnsi="微软雅黑" w:eastAsia="微软雅黑" w:cs="微软雅黑"/>
                <w:bCs/>
                <w:kern w:val="0"/>
                <w:sz w:val="21"/>
                <w:szCs w:val="21"/>
              </w:rPr>
              <w:t>【东江大坝】</w:t>
            </w:r>
            <w:r>
              <w:rPr>
                <w:rFonts w:hint="eastAsia" w:ascii="微软雅黑" w:hAnsi="微软雅黑" w:eastAsia="微软雅黑" w:cs="微软雅黑"/>
                <w:kern w:val="0"/>
                <w:sz w:val="21"/>
                <w:szCs w:val="21"/>
              </w:rPr>
              <w:t>。抵达东江大坝后游览</w:t>
            </w:r>
            <w:r>
              <w:rPr>
                <w:rFonts w:hint="eastAsia" w:ascii="微软雅黑" w:hAnsi="微软雅黑" w:eastAsia="微软雅黑" w:cs="微软雅黑"/>
                <w:b/>
                <w:bCs/>
                <w:color w:val="FF0000"/>
                <w:kern w:val="0"/>
                <w:sz w:val="21"/>
                <w:szCs w:val="21"/>
              </w:rPr>
              <w:t>【龙井峡谷瀑布群】</w:t>
            </w:r>
            <w:r>
              <w:rPr>
                <w:rFonts w:hint="eastAsia" w:ascii="微软雅黑" w:hAnsi="微软雅黑" w:eastAsia="微软雅黑" w:cs="微软雅黑"/>
                <w:kern w:val="0"/>
                <w:sz w:val="21"/>
                <w:szCs w:val="21"/>
              </w:rPr>
              <w:t>。沿途可以观赏到烟竹山瀑布、龙景瀑龙吟瀑、三叠瀑、龙卷瀑、鸳鸯瀑等形态各异的瀑布和古松坳、连理树、龙鳞石等千姿百态的景点。</w:t>
            </w:r>
          </w:p>
          <w:p w14:paraId="61955D20">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b/>
                <w:bCs/>
                <w:color w:val="FF0000"/>
                <w:kern w:val="0"/>
                <w:sz w:val="21"/>
                <w:szCs w:val="21"/>
              </w:rPr>
            </w:pPr>
            <w:r>
              <w:rPr>
                <w:rFonts w:hint="eastAsia" w:ascii="微软雅黑" w:hAnsi="微软雅黑" w:eastAsia="微软雅黑" w:cs="微软雅黑"/>
                <w:b/>
                <w:bCs/>
                <w:color w:val="FF0000"/>
                <w:kern w:val="0"/>
                <w:sz w:val="21"/>
                <w:szCs w:val="21"/>
              </w:rPr>
              <w:t>特别安排：徒步醉美【小东江】景区段，偶遇雾漫美景，观渔夫撒网；</w:t>
            </w:r>
          </w:p>
          <w:p w14:paraId="3A227FD9">
            <w:pPr>
              <w:keepNext w:val="0"/>
              <w:keepLines w:val="0"/>
              <w:pageBreakBefore w:val="0"/>
              <w:widowControl w:val="0"/>
              <w:kinsoku/>
              <w:wordWrap/>
              <w:overflowPunct/>
              <w:topLinePunct w:val="0"/>
              <w:autoSpaceDE/>
              <w:autoSpaceDN/>
              <w:bidi w:val="0"/>
              <w:adjustRightInd w:val="0"/>
              <w:snapToGrid w:val="0"/>
              <w:spacing w:line="360" w:lineRule="exact"/>
              <w:jc w:val="left"/>
              <w:textAlignment w:val="auto"/>
              <w:rPr>
                <w:rFonts w:ascii="微软雅黑" w:hAnsi="微软雅黑" w:eastAsia="微软雅黑" w:cs="微软雅黑"/>
                <w:b/>
                <w:bCs/>
                <w:color w:val="FF0000"/>
                <w:kern w:val="0"/>
                <w:sz w:val="24"/>
                <w:szCs w:val="24"/>
              </w:rPr>
            </w:pPr>
            <w:r>
              <w:rPr>
                <w:rFonts w:hint="eastAsia" w:ascii="微软雅黑" w:hAnsi="微软雅黑" w:eastAsia="微软雅黑" w:cs="微软雅黑"/>
                <w:b/>
                <w:bCs/>
                <w:color w:val="FF0000"/>
                <w:kern w:val="0"/>
                <w:sz w:val="21"/>
                <w:szCs w:val="21"/>
              </w:rPr>
              <w:t>特别说明：雾漫小东江属于自然现象，因当天天气情况而定，可遇不可求，我司不受理有关此方面</w:t>
            </w:r>
          </w:p>
          <w:p w14:paraId="588F7EE6">
            <w:pPr>
              <w:adjustRightInd w:val="0"/>
              <w:snapToGrid w:val="0"/>
              <w:spacing w:line="288" w:lineRule="auto"/>
              <w:jc w:val="left"/>
              <w:rPr>
                <w:rFonts w:ascii="微软雅黑" w:hAnsi="微软雅黑" w:eastAsia="微软雅黑" w:cs="微软雅黑"/>
                <w:kern w:val="0"/>
                <w:sz w:val="24"/>
                <w:szCs w:val="24"/>
              </w:rPr>
            </w:pPr>
            <w:r>
              <w:rPr>
                <w:rFonts w:hint="eastAsia" w:ascii="微软雅黑" w:hAnsi="微软雅黑" w:eastAsia="微软雅黑" w:cs="微软雅黑"/>
                <w:kern w:val="0"/>
                <w:sz w:val="24"/>
                <w:szCs w:val="24"/>
              </w:rPr>
              <w:drawing>
                <wp:inline distT="0" distB="0" distL="0" distR="0">
                  <wp:extent cx="7533005" cy="1602740"/>
                  <wp:effectExtent l="0" t="0" r="10795" b="12700"/>
                  <wp:docPr id="1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7533005" cy="1602740"/>
                          </a:xfrm>
                          <a:prstGeom prst="rect">
                            <a:avLst/>
                          </a:prstGeom>
                          <a:noFill/>
                        </pic:spPr>
                      </pic:pic>
                    </a:graphicData>
                  </a:graphic>
                </wp:inline>
              </w:drawing>
            </w:r>
          </w:p>
          <w:p w14:paraId="599C0E32">
            <w:pPr>
              <w:keepNext w:val="0"/>
              <w:keepLines w:val="0"/>
              <w:pageBreakBefore w:val="0"/>
              <w:widowControl w:val="0"/>
              <w:kinsoku/>
              <w:wordWrap/>
              <w:overflowPunct/>
              <w:topLinePunct w:val="0"/>
              <w:autoSpaceDE/>
              <w:autoSpaceDN/>
              <w:bidi w:val="0"/>
              <w:adjustRightInd w:val="0"/>
              <w:snapToGrid w:val="0"/>
              <w:spacing w:line="360" w:lineRule="exact"/>
              <w:ind w:firstLine="525" w:firstLineChars="250"/>
              <w:jc w:val="left"/>
              <w:textAlignment w:val="auto"/>
              <w:rPr>
                <w:rFonts w:ascii="微软雅黑" w:hAnsi="微软雅黑" w:eastAsia="微软雅黑" w:cs="微软雅黑"/>
                <w:kern w:val="0"/>
                <w:sz w:val="21"/>
                <w:szCs w:val="21"/>
              </w:rPr>
            </w:pPr>
            <w:r>
              <w:rPr>
                <w:rFonts w:hint="eastAsia" w:ascii="微软雅黑" w:hAnsi="微软雅黑" w:eastAsia="微软雅黑" w:cs="微软雅黑"/>
                <w:kern w:val="0"/>
                <w:sz w:val="21"/>
                <w:szCs w:val="21"/>
              </w:rPr>
              <w:t>中餐</w:t>
            </w:r>
            <w:r>
              <w:rPr>
                <w:rFonts w:ascii="微软雅黑" w:hAnsi="微软雅黑" w:eastAsia="微软雅黑" w:cs="微软雅黑"/>
                <w:kern w:val="0"/>
                <w:sz w:val="21"/>
                <w:szCs w:val="21"/>
              </w:rPr>
              <w:t>特别安排品尝美味的——</w:t>
            </w:r>
            <w:r>
              <w:rPr>
                <w:rFonts w:ascii="微软雅黑" w:hAnsi="微软雅黑" w:eastAsia="微软雅黑" w:cs="微软雅黑"/>
                <w:color w:val="FF0000"/>
                <w:kern w:val="0"/>
                <w:sz w:val="21"/>
                <w:szCs w:val="21"/>
              </w:rPr>
              <w:t>东江湖淡水三文</w:t>
            </w:r>
            <w:r>
              <w:rPr>
                <w:rFonts w:hint="eastAsia" w:ascii="微软雅黑" w:hAnsi="微软雅黑" w:eastAsia="微软雅黑" w:cs="微软雅黑"/>
                <w:color w:val="FF0000"/>
                <w:kern w:val="0"/>
                <w:sz w:val="21"/>
                <w:szCs w:val="21"/>
              </w:rPr>
              <w:t>鱼</w:t>
            </w:r>
            <w:r>
              <w:rPr>
                <w:rFonts w:ascii="微软雅黑" w:hAnsi="微软雅黑" w:eastAsia="微软雅黑" w:cs="微软雅黑"/>
                <w:color w:val="FF0000"/>
                <w:kern w:val="0"/>
                <w:sz w:val="21"/>
                <w:szCs w:val="21"/>
              </w:rPr>
              <w:t>宴</w:t>
            </w:r>
            <w:r>
              <w:rPr>
                <w:rFonts w:ascii="微软雅黑" w:hAnsi="微软雅黑" w:eastAsia="微软雅黑" w:cs="微软雅黑"/>
                <w:kern w:val="0"/>
                <w:sz w:val="21"/>
                <w:szCs w:val="21"/>
              </w:rPr>
              <w:t>。</w:t>
            </w:r>
          </w:p>
          <w:p w14:paraId="0F43A2B3">
            <w:pPr>
              <w:keepNext w:val="0"/>
              <w:keepLines w:val="0"/>
              <w:pageBreakBefore w:val="0"/>
              <w:widowControl w:val="0"/>
              <w:kinsoku/>
              <w:wordWrap/>
              <w:overflowPunct/>
              <w:topLinePunct w:val="0"/>
              <w:autoSpaceDE/>
              <w:autoSpaceDN/>
              <w:bidi w:val="0"/>
              <w:spacing w:line="360" w:lineRule="exact"/>
              <w:ind w:firstLine="392" w:firstLineChars="187"/>
              <w:textAlignment w:val="auto"/>
              <w:rPr>
                <w:rFonts w:ascii="微软雅黑" w:hAnsi="微软雅黑" w:eastAsia="微软雅黑" w:cs="微软雅黑"/>
                <w:kern w:val="0"/>
                <w:sz w:val="24"/>
                <w:szCs w:val="24"/>
              </w:rPr>
            </w:pPr>
            <w:r>
              <w:rPr>
                <w:rFonts w:hint="eastAsia" w:ascii="微软雅黑" w:hAnsi="微软雅黑" w:eastAsia="微软雅黑" w:cs="微软雅黑"/>
                <w:bCs/>
                <w:kern w:val="0"/>
                <w:sz w:val="21"/>
                <w:szCs w:val="21"/>
              </w:rPr>
              <w:t>后乘车前往白廊环湖公路，大东江环湖公路是一条高标准旅游公路. 这条公路打造成集旅游观光、休闲娱乐等多功能于一体的生态休闲养生带。东江湖环湖公路号称东江湖最美段路，后码头乘坐</w:t>
            </w:r>
            <w:r>
              <w:rPr>
                <w:rFonts w:hint="eastAsia" w:ascii="微软雅黑" w:hAnsi="微软雅黑" w:eastAsia="微软雅黑" w:cs="微软雅黑"/>
                <w:b/>
                <w:bCs/>
                <w:color w:val="FF0000"/>
                <w:kern w:val="0"/>
                <w:sz w:val="21"/>
                <w:szCs w:val="21"/>
              </w:rPr>
              <w:t>【大东江游船】</w:t>
            </w:r>
            <w:r>
              <w:rPr>
                <w:rFonts w:hint="eastAsia" w:ascii="微软雅黑" w:hAnsi="微软雅黑" w:eastAsia="微软雅黑" w:cs="微软雅黑"/>
                <w:bCs/>
                <w:kern w:val="0"/>
                <w:sz w:val="21"/>
                <w:szCs w:val="21"/>
              </w:rPr>
              <w:t>，您可以再此地一览东江湖无敌的美丽湖景.</w:t>
            </w:r>
          </w:p>
          <w:p w14:paraId="72B8DD17">
            <w:pPr>
              <w:keepNext w:val="0"/>
              <w:keepLines w:val="0"/>
              <w:pageBreakBefore w:val="0"/>
              <w:widowControl w:val="0"/>
              <w:kinsoku/>
              <w:wordWrap/>
              <w:overflowPunct/>
              <w:topLinePunct w:val="0"/>
              <w:autoSpaceDE/>
              <w:autoSpaceDN/>
              <w:bidi w:val="0"/>
              <w:adjustRightInd w:val="0"/>
              <w:snapToGrid w:val="0"/>
              <w:spacing w:line="360" w:lineRule="exact"/>
              <w:ind w:firstLine="600" w:firstLineChars="250"/>
              <w:jc w:val="left"/>
              <w:textAlignment w:val="auto"/>
              <w:rPr>
                <w:rFonts w:hint="eastAsia" w:ascii="微软雅黑" w:hAnsi="微软雅黑" w:eastAsia="微软雅黑" w:cs="微软雅黑"/>
                <w:b/>
                <w:color w:val="FF0000"/>
                <w:szCs w:val="21"/>
                <w:lang w:val="en-US" w:eastAsia="zh-CN"/>
              </w:rPr>
            </w:pPr>
            <w:r>
              <w:rPr>
                <w:rFonts w:hint="eastAsia" w:ascii="微软雅黑" w:hAnsi="微软雅黑" w:eastAsia="微软雅黑" w:cs="微软雅黑"/>
                <w:color w:val="000000" w:themeColor="text1"/>
                <w:kern w:val="0"/>
                <w:sz w:val="24"/>
                <w:szCs w:val="24"/>
                <w14:textFill>
                  <w14:solidFill>
                    <w14:schemeClr w14:val="tx1"/>
                  </w14:solidFill>
                </w14:textFill>
              </w:rPr>
              <w:drawing>
                <wp:anchor distT="0" distB="0" distL="114300" distR="114300" simplePos="0" relativeHeight="251675648" behindDoc="0" locked="0" layoutInCell="1" allowOverlap="1">
                  <wp:simplePos x="0" y="0"/>
                  <wp:positionH relativeFrom="column">
                    <wp:posOffset>-1905</wp:posOffset>
                  </wp:positionH>
                  <wp:positionV relativeFrom="paragraph">
                    <wp:posOffset>761365</wp:posOffset>
                  </wp:positionV>
                  <wp:extent cx="7288530" cy="1757045"/>
                  <wp:effectExtent l="0" t="0" r="11430" b="10795"/>
                  <wp:wrapSquare wrapText="bothSides"/>
                  <wp:docPr id="14" name="图片 14" descr="e4b2ab0eccb82b373426f9a894006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4b2ab0eccb82b373426f9a8940064d"/>
                          <pic:cNvPicPr>
                            <a:picLocks noChangeAspect="1"/>
                          </pic:cNvPicPr>
                        </pic:nvPicPr>
                        <pic:blipFill>
                          <a:blip r:embed="rId25" cstate="print"/>
                          <a:stretch>
                            <a:fillRect/>
                          </a:stretch>
                        </pic:blipFill>
                        <pic:spPr>
                          <a:xfrm>
                            <a:off x="0" y="0"/>
                            <a:ext cx="7288530" cy="1757045"/>
                          </a:xfrm>
                          <a:prstGeom prst="rect">
                            <a:avLst/>
                          </a:prstGeom>
                        </pic:spPr>
                      </pic:pic>
                    </a:graphicData>
                  </a:graphic>
                </wp:anchor>
              </w:drawing>
            </w:r>
            <w:r>
              <w:rPr>
                <w:rFonts w:ascii="微软雅黑" w:hAnsi="微软雅黑" w:eastAsia="微软雅黑" w:cs="微软雅黑"/>
                <w:kern w:val="0"/>
                <w:sz w:val="21"/>
                <w:szCs w:val="21"/>
              </w:rPr>
              <w:t>参观</w:t>
            </w:r>
            <w:r>
              <w:rPr>
                <w:rFonts w:hint="eastAsia" w:ascii="微软雅黑" w:hAnsi="微软雅黑" w:eastAsia="微软雅黑" w:cs="微软雅黑"/>
                <w:b/>
                <w:bCs/>
                <w:color w:val="FF0000"/>
                <w:kern w:val="0"/>
                <w:sz w:val="21"/>
                <w:szCs w:val="21"/>
              </w:rPr>
              <w:t>【长卷文化园】</w:t>
            </w:r>
            <w:r>
              <w:rPr>
                <w:rFonts w:ascii="微软雅黑" w:hAnsi="微软雅黑" w:eastAsia="微软雅黑" w:cs="微软雅黑"/>
                <w:kern w:val="0"/>
                <w:sz w:val="21"/>
                <w:szCs w:val="21"/>
              </w:rPr>
              <w:t>，项目占地约500亩，总投资23亿元，建筑面积约24万平方米，提取郴州十一个县市区的古建筑元素，集中展示郴州的历史、建筑、民俗、商贸、会馆、书院、医养等文化灵魂，构筑起“文态、生态、形态、业态”四态合一的城市文化产业名片</w:t>
            </w:r>
            <w:r>
              <w:rPr>
                <w:rFonts w:hint="eastAsia" w:ascii="微软雅黑" w:hAnsi="微软雅黑" w:eastAsia="微软雅黑" w:cs="微软雅黑"/>
                <w:kern w:val="0"/>
                <w:sz w:val="21"/>
                <w:szCs w:val="21"/>
              </w:rPr>
              <w:t>。</w:t>
            </w:r>
          </w:p>
        </w:tc>
      </w:tr>
      <w:tr w14:paraId="0D218A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229B0EB">
            <w:pPr>
              <w:spacing w:line="360" w:lineRule="auto"/>
              <w:rPr>
                <w:rFonts w:hint="eastAsia" w:ascii="微软雅黑" w:hAnsi="微软雅黑" w:eastAsia="微软雅黑" w:cs="微软雅黑"/>
                <w:b/>
                <w:bCs/>
                <w:color w:val="FFFFFF"/>
                <w:sz w:val="28"/>
                <w:szCs w:val="28"/>
                <w:lang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五</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土特产超市</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永兴银楼→长沙                    用餐/早中    </w:t>
            </w:r>
            <w:r>
              <w:rPr>
                <w:rFonts w:hint="eastAsia" w:ascii="微软雅黑" w:hAnsi="微软雅黑" w:eastAsia="微软雅黑" w:cs="微软雅黑"/>
                <w:b/>
                <w:bCs/>
                <w:color w:val="FFFFFF"/>
                <w:sz w:val="28"/>
                <w:szCs w:val="28"/>
                <w:lang w:val="en-US" w:eastAsia="zh-CN"/>
              </w:rPr>
              <w:tab/>
            </w:r>
            <w:r>
              <w:rPr>
                <w:rFonts w:hint="eastAsia" w:ascii="微软雅黑" w:hAnsi="微软雅黑" w:eastAsia="微软雅黑" w:cs="微软雅黑"/>
                <w:b/>
                <w:bCs/>
                <w:color w:val="FFFFFF"/>
                <w:sz w:val="28"/>
                <w:szCs w:val="28"/>
                <w:lang w:val="en-US" w:eastAsia="zh-CN"/>
              </w:rPr>
              <w:t xml:space="preserve"> 住宿/ 长沙</w:t>
            </w:r>
          </w:p>
        </w:tc>
      </w:tr>
      <w:tr w14:paraId="0C7D00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8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F926314">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Cs/>
                <w:color w:val="000000"/>
                <w:szCs w:val="21"/>
                <w:lang w:val="zh-CN" w:bidi="zh-CN"/>
              </w:rPr>
              <w:t>早餐后逛特产店，湖南特产、美食等您来品尝，再带份手信给家人朋友。乘车（里程约50KM，车程约1小时）前往</w:t>
            </w:r>
            <w:r>
              <w:rPr>
                <w:rFonts w:hint="eastAsia" w:ascii="微软雅黑" w:hAnsi="微软雅黑" w:eastAsia="微软雅黑" w:cs="微软雅黑"/>
                <w:b/>
                <w:color w:val="FF0000"/>
                <w:szCs w:val="21"/>
                <w:lang w:val="zh-CN"/>
              </w:rPr>
              <w:t>【永兴银楼】</w:t>
            </w:r>
            <w:r>
              <w:rPr>
                <w:rFonts w:hint="eastAsia" w:ascii="微软雅黑" w:hAnsi="微软雅黑" w:eastAsia="微软雅黑" w:cs="微软雅黑"/>
                <w:bCs/>
                <w:color w:val="000000"/>
                <w:szCs w:val="21"/>
                <w:lang w:val="zh-CN" w:bidi="zh-CN"/>
              </w:rPr>
              <w:t>，这里耗费5万两白银，动用数十名工匠，历经百余天的封闭式构建，一座巧夺天工的中国最大银楼终于惊艳亮相。银楼在阳光的照射下，新建成的银楼显得分外妖娆。银楼借鉴日本金都的金楼而建，楼层高二层，一楼是柱式空透建筑，中间铸一大型鎏金神龟。而二楼雕梁画栋，有门窗隔壁。楼二层空间配有鸳鸯椅一张，采用鎏金、银打造，尽显精致与奢华。</w:t>
            </w:r>
            <w:r>
              <w:rPr>
                <w:rFonts w:hint="eastAsia" w:ascii="微软雅黑" w:hAnsi="微软雅黑" w:eastAsia="微软雅黑" w:cs="微软雅黑"/>
                <w:bCs/>
                <w:color w:val="000000"/>
                <w:szCs w:val="21"/>
                <w:lang w:bidi="zh-CN"/>
              </w:rPr>
              <w:t>参观结束后乘车（里程约240KM，车程约3小时）前往长沙，抵达长沙后入住酒店！</w:t>
            </w:r>
          </w:p>
        </w:tc>
      </w:tr>
      <w:tr w14:paraId="09D372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1D145FB">
            <w:pPr>
              <w:spacing w:line="360" w:lineRule="auto"/>
              <w:rPr>
                <w:rFonts w:hint="eastAsia" w:ascii="微软雅黑" w:hAnsi="微软雅黑" w:eastAsia="微软雅黑" w:cs="微软雅黑"/>
                <w:b/>
                <w:bCs/>
                <w:color w:val="FFFFFF"/>
                <w:sz w:val="28"/>
                <w:szCs w:val="28"/>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六</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长沙→出发地                             用餐/早 </w:t>
            </w:r>
            <w:r>
              <w:rPr>
                <w:rFonts w:hint="eastAsia" w:ascii="微软雅黑" w:hAnsi="微软雅黑" w:eastAsia="微软雅黑" w:cs="微软雅黑"/>
                <w:b/>
                <w:bCs/>
                <w:color w:val="FFFFFF"/>
                <w:sz w:val="28"/>
                <w:szCs w:val="28"/>
                <w:lang w:val="en-US" w:eastAsia="zh-CN"/>
              </w:rPr>
              <w:tab/>
            </w:r>
            <w:r>
              <w:rPr>
                <w:rFonts w:hint="eastAsia" w:ascii="微软雅黑" w:hAnsi="微软雅黑" w:eastAsia="微软雅黑" w:cs="微软雅黑"/>
                <w:b/>
                <w:bCs/>
                <w:color w:val="FFFFFF"/>
                <w:sz w:val="28"/>
                <w:szCs w:val="28"/>
                <w:lang w:val="en-US" w:eastAsia="zh-CN"/>
              </w:rPr>
              <w:t xml:space="preserve">   住宿/温馨的家</w:t>
            </w:r>
          </w:p>
        </w:tc>
      </w:tr>
      <w:tr w14:paraId="5E5067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8782DDF">
            <w:pPr>
              <w:widowControl/>
              <w:spacing w:line="360" w:lineRule="exact"/>
              <w:ind w:firstLine="420" w:firstLineChars="200"/>
              <w:jc w:val="left"/>
              <w:rPr>
                <w:rFonts w:hint="eastAsia" w:ascii="微软雅黑" w:hAnsi="微软雅黑" w:eastAsia="微软雅黑" w:cs="微软雅黑"/>
                <w:b/>
                <w:color w:val="00B0F0"/>
                <w:sz w:val="18"/>
                <w:szCs w:val="18"/>
                <w:lang w:val="en-US" w:eastAsia="zh-CN"/>
              </w:rPr>
            </w:pPr>
            <w:bookmarkStart w:id="0" w:name="_GoBack"/>
            <w:r>
              <w:rPr>
                <w:rFonts w:hint="eastAsia" w:ascii="微软雅黑" w:hAnsi="微软雅黑" w:eastAsia="微软雅黑" w:cs="微软雅黑"/>
                <w:sz w:val="21"/>
                <w:szCs w:val="21"/>
              </w:rPr>
              <w:t>早餐后自由活动，我社根据客人返程交通时间，安排统一送站！！</w:t>
            </w:r>
            <w:bookmarkEnd w:id="0"/>
          </w:p>
        </w:tc>
      </w:tr>
      <w:tr w14:paraId="0D554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7CD2C2A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6801DB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7522639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00D82396">
            <w:pPr>
              <w:spacing w:line="360" w:lineRule="exact"/>
              <w:ind w:left="218" w:hanging="218" w:hangingChars="104"/>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bCs/>
                <w:color w:val="000000"/>
                <w:szCs w:val="21"/>
              </w:rPr>
              <w:t>莽山国家森林公园五指峰景区、东江湖A线、高椅岭景区门票、银楼门票。</w:t>
            </w:r>
          </w:p>
          <w:p w14:paraId="3800EACB">
            <w:pPr>
              <w:widowControl/>
              <w:autoSpaceDE w:val="0"/>
              <w:autoSpaceDN w:val="0"/>
              <w:adjustRightInd w:val="0"/>
              <w:spacing w:line="400" w:lineRule="exact"/>
              <w:ind w:right="34"/>
              <w:jc w:val="left"/>
              <w:rPr>
                <w:rFonts w:ascii="微软雅黑" w:hAnsi="微软雅黑" w:eastAsia="微软雅黑" w:cs="黑体"/>
                <w:szCs w:val="21"/>
              </w:rPr>
            </w:pPr>
            <w:r>
              <w:rPr>
                <w:rFonts w:hint="eastAsia" w:ascii="微软雅黑" w:hAnsi="微软雅黑" w:eastAsia="微软雅黑" w:cs="微软雅黑"/>
                <w:lang w:val="en-US" w:eastAsia="zh-CN"/>
              </w:rPr>
              <w:t>2、</w:t>
            </w:r>
            <w:r>
              <w:rPr>
                <w:rFonts w:hint="eastAsia" w:ascii="微软雅黑" w:hAnsi="微软雅黑" w:eastAsia="微软雅黑" w:cs="微软雅黑"/>
              </w:rPr>
              <w:t>酒店：</w:t>
            </w:r>
            <w:r>
              <w:rPr>
                <w:rFonts w:hint="eastAsia" w:ascii="微软雅黑" w:hAnsi="微软雅黑" w:eastAsia="微软雅黑" w:cs="黑体"/>
                <w:szCs w:val="21"/>
              </w:rPr>
              <w:t>全程4晚住宿，入住准四或精选商务酒店标准间，团队中若出现单男单女，地接社有权调整标间内加床若客不愿拼房需自补房差，房费不住不退。 不含自然单房差320元 。酒店有一次性洗漱用品。（温馨</w:t>
            </w:r>
            <w:r>
              <w:rPr>
                <w:rFonts w:ascii="微软雅黑" w:hAnsi="微软雅黑" w:eastAsia="微软雅黑" w:cs="黑体"/>
                <w:szCs w:val="21"/>
              </w:rPr>
              <w:t>提示：旅游发展中城市，住宿标准普遍比</w:t>
            </w:r>
            <w:r>
              <w:rPr>
                <w:rFonts w:hint="eastAsia" w:ascii="微软雅黑" w:hAnsi="微软雅黑" w:eastAsia="微软雅黑" w:cs="黑体"/>
                <w:szCs w:val="21"/>
              </w:rPr>
              <w:t>一</w:t>
            </w:r>
            <w:r>
              <w:rPr>
                <w:rFonts w:ascii="微软雅黑" w:hAnsi="微软雅黑" w:eastAsia="微软雅黑" w:cs="黑体"/>
                <w:szCs w:val="21"/>
              </w:rPr>
              <w:t>线城市低一个档次，谢谢理解！）</w:t>
            </w:r>
          </w:p>
          <w:p w14:paraId="6B43C47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w:t>
            </w:r>
            <w:r>
              <w:rPr>
                <w:rFonts w:hint="eastAsia" w:ascii="微软雅黑" w:hAnsi="微软雅黑" w:eastAsia="微软雅黑" w:cs="微软雅黑"/>
                <w:bCs/>
                <w:kern w:val="0"/>
                <w:szCs w:val="21"/>
              </w:rPr>
              <w:t>全程含4早（如看东江湖早雾则为打包早）</w:t>
            </w:r>
            <w:r>
              <w:rPr>
                <w:rFonts w:ascii="微软雅黑" w:hAnsi="微软雅黑" w:eastAsia="微软雅黑" w:cs="微软雅黑"/>
                <w:bCs/>
                <w:kern w:val="0"/>
                <w:szCs w:val="21"/>
              </w:rPr>
              <w:t>4</w:t>
            </w:r>
            <w:r>
              <w:rPr>
                <w:rFonts w:hint="eastAsia" w:ascii="微软雅黑" w:hAnsi="微软雅黑" w:eastAsia="微软雅黑" w:cs="微软雅黑"/>
                <w:bCs/>
                <w:kern w:val="0"/>
                <w:szCs w:val="21"/>
              </w:rPr>
              <w:t>正餐（含一餐当地杀猪粉）；</w:t>
            </w:r>
            <w:r>
              <w:rPr>
                <w:rFonts w:ascii="微软雅黑" w:hAnsi="微软雅黑" w:eastAsia="微软雅黑" w:cs="微软雅黑"/>
                <w:bCs/>
                <w:kern w:val="0"/>
                <w:szCs w:val="21"/>
              </w:rPr>
              <w:t>（</w:t>
            </w:r>
            <w:r>
              <w:rPr>
                <w:rFonts w:hint="eastAsia" w:ascii="微软雅黑" w:hAnsi="微软雅黑" w:eastAsia="微软雅黑" w:cs="微软雅黑"/>
                <w:bCs/>
                <w:kern w:val="0"/>
                <w:szCs w:val="21"/>
              </w:rPr>
              <w:t>酒店</w:t>
            </w:r>
            <w:r>
              <w:rPr>
                <w:rFonts w:ascii="微软雅黑" w:hAnsi="微软雅黑" w:eastAsia="微软雅黑" w:cs="微软雅黑"/>
                <w:bCs/>
                <w:kern w:val="0"/>
                <w:szCs w:val="21"/>
              </w:rPr>
              <w:t>含</w:t>
            </w:r>
            <w:r>
              <w:rPr>
                <w:rFonts w:hint="eastAsia" w:ascii="微软雅黑" w:hAnsi="微软雅黑" w:eastAsia="微软雅黑" w:cs="微软雅黑"/>
                <w:bCs/>
                <w:kern w:val="0"/>
                <w:szCs w:val="21"/>
              </w:rPr>
              <w:t>早</w:t>
            </w:r>
            <w:r>
              <w:rPr>
                <w:rFonts w:ascii="微软雅黑" w:hAnsi="微软雅黑" w:eastAsia="微软雅黑" w:cs="微软雅黑"/>
                <w:bCs/>
                <w:kern w:val="0"/>
                <w:szCs w:val="21"/>
              </w:rPr>
              <w:t>，错过时间自理</w:t>
            </w:r>
            <w:r>
              <w:rPr>
                <w:rFonts w:hint="eastAsia" w:ascii="微软雅黑" w:hAnsi="微软雅黑" w:eastAsia="微软雅黑" w:cs="微软雅黑"/>
                <w:bCs/>
                <w:kern w:val="0"/>
                <w:szCs w:val="21"/>
              </w:rPr>
              <w:t>。</w:t>
            </w:r>
            <w:r>
              <w:rPr>
                <w:rFonts w:ascii="微软雅黑" w:hAnsi="微软雅黑" w:eastAsia="微软雅黑" w:cs="微软雅黑"/>
                <w:bCs/>
                <w:kern w:val="0"/>
                <w:szCs w:val="21"/>
              </w:rPr>
              <w:t>）</w:t>
            </w:r>
          </w:p>
          <w:p w14:paraId="43FE74A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rPr>
              <w:t>4、交通：</w:t>
            </w:r>
            <w:r>
              <w:rPr>
                <w:rFonts w:hint="eastAsia" w:ascii="微软雅黑" w:hAnsi="微软雅黑" w:eastAsia="微软雅黑" w:cs="微软雅黑"/>
                <w:sz w:val="21"/>
                <w:szCs w:val="21"/>
              </w:rPr>
              <w:t>全程豪华空调旅游车，保证每人一正座</w:t>
            </w:r>
            <w:r>
              <w:rPr>
                <w:rFonts w:hint="eastAsia" w:ascii="微软雅黑" w:hAnsi="微软雅黑" w:eastAsia="微软雅黑" w:cs="微软雅黑"/>
                <w:sz w:val="21"/>
                <w:szCs w:val="21"/>
                <w:lang w:eastAsia="zh-CN"/>
              </w:rPr>
              <w:t>，</w:t>
            </w:r>
            <w:r>
              <w:rPr>
                <w:rFonts w:hint="eastAsia" w:ascii="微软雅黑" w:hAnsi="微软雅黑" w:eastAsia="微软雅黑" w:cs="黑体"/>
                <w:szCs w:val="21"/>
              </w:rPr>
              <w:t>接</w:t>
            </w:r>
            <w:r>
              <w:rPr>
                <w:rFonts w:ascii="微软雅黑" w:hAnsi="微软雅黑" w:eastAsia="微软雅黑" w:cs="黑体"/>
                <w:szCs w:val="21"/>
              </w:rPr>
              <w:t>飞机或火车为专业接站师傅，根据人数安排车</w:t>
            </w:r>
            <w:r>
              <w:rPr>
                <w:rFonts w:hint="eastAsia" w:ascii="微软雅黑" w:hAnsi="微软雅黑" w:eastAsia="微软雅黑" w:cs="黑体"/>
                <w:szCs w:val="21"/>
              </w:rPr>
              <w:t>辆</w:t>
            </w:r>
            <w:r>
              <w:rPr>
                <w:rFonts w:ascii="微软雅黑" w:hAnsi="微软雅黑" w:eastAsia="微软雅黑" w:cs="黑体"/>
                <w:szCs w:val="21"/>
              </w:rPr>
              <w:t>大小，接站不保证是同一</w:t>
            </w:r>
            <w:r>
              <w:rPr>
                <w:rFonts w:hint="eastAsia" w:ascii="微软雅黑" w:hAnsi="微软雅黑" w:eastAsia="微软雅黑" w:cs="黑体"/>
                <w:szCs w:val="21"/>
              </w:rPr>
              <w:t>辆</w:t>
            </w:r>
            <w:r>
              <w:rPr>
                <w:rFonts w:ascii="微软雅黑" w:hAnsi="微软雅黑" w:eastAsia="微软雅黑" w:cs="黑体"/>
                <w:szCs w:val="21"/>
              </w:rPr>
              <w:t>车</w:t>
            </w:r>
            <w:r>
              <w:rPr>
                <w:rFonts w:hint="eastAsia" w:ascii="微软雅黑" w:hAnsi="微软雅黑" w:eastAsia="微软雅黑" w:cs="黑体"/>
                <w:szCs w:val="21"/>
              </w:rPr>
              <w:t>。</w:t>
            </w:r>
          </w:p>
          <w:p w14:paraId="31A93CB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5D82771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eastAsia="宋体"/>
                <w:lang w:val="en-US" w:eastAsia="zh-CN"/>
              </w:rPr>
            </w:pPr>
            <w:r>
              <w:rPr>
                <w:rFonts w:hint="eastAsia" w:ascii="微软雅黑" w:hAnsi="微软雅黑" w:eastAsia="微软雅黑" w:cs="微软雅黑"/>
              </w:rPr>
              <w:t>6、</w:t>
            </w:r>
            <w:r>
              <w:rPr>
                <w:rFonts w:hint="eastAsia" w:ascii="微软雅黑" w:hAnsi="微软雅黑" w:eastAsia="微软雅黑" w:cs="微软雅黑"/>
                <w:lang w:eastAsia="zh-CN"/>
              </w:rPr>
              <w:t>购物：</w:t>
            </w:r>
            <w:r>
              <w:rPr>
                <w:rFonts w:hint="eastAsia" w:ascii="微软雅黑" w:hAnsi="微软雅黑" w:eastAsia="微软雅黑" w:cs="微软雅黑"/>
                <w:bCs/>
                <w:color w:val="000000"/>
                <w:szCs w:val="21"/>
              </w:rPr>
              <w:t>土特产超市和景区自营店不算购物店。</w:t>
            </w:r>
          </w:p>
        </w:tc>
      </w:tr>
      <w:tr w14:paraId="7243934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81" w:hRule="atLeast"/>
        </w:trPr>
        <w:tc>
          <w:tcPr>
            <w:tcW w:w="11628" w:type="dxa"/>
            <w:gridSpan w:val="6"/>
            <w:tcBorders>
              <w:top w:val="single" w:color="auto" w:sz="4" w:space="0"/>
              <w:left w:val="single" w:color="auto" w:sz="4" w:space="0"/>
              <w:bottom w:val="single" w:color="auto" w:sz="4" w:space="0"/>
              <w:right w:val="single" w:color="auto" w:sz="4" w:space="0"/>
            </w:tcBorders>
          </w:tcPr>
          <w:p w14:paraId="0B703C3E">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☆☆费用不含☆☆</w:t>
            </w:r>
          </w:p>
          <w:p w14:paraId="7F7C2B7E">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莽山五指峰景区内的户外观光电梯单程40元，往返80元为非必需乘坐的景区交通，若需乘坐，需另外付费！</w:t>
            </w:r>
          </w:p>
          <w:p w14:paraId="15082D76">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单房差</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0元/人</w:t>
            </w:r>
          </w:p>
          <w:p w14:paraId="7D306308">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因交通延阻、罢工、天气、飞机机器故障、航班取消或更改时间等不可抗力原因所引致的额外费用。 </w:t>
            </w:r>
          </w:p>
          <w:p w14:paraId="6DC0C85D">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酒店内洗衣、理发、电话、传真、收费电视、饮品、烟酒等个人消费。 </w:t>
            </w:r>
          </w:p>
          <w:p w14:paraId="406F9A67">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保险：个人旅游意外保险。</w:t>
            </w:r>
          </w:p>
        </w:tc>
      </w:tr>
      <w:tr w14:paraId="406E9B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06CB986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76ABD670">
            <w:pPr>
              <w:spacing w:line="360" w:lineRule="exact"/>
              <w:rPr>
                <w:rFonts w:hint="eastAsia" w:ascii="微软雅黑" w:hAnsi="微软雅黑" w:eastAsia="微软雅黑" w:cs="微软雅黑"/>
                <w:sz w:val="21"/>
                <w:szCs w:val="21"/>
              </w:rPr>
            </w:pPr>
            <w:r>
              <w:rPr>
                <w:rFonts w:hint="eastAsia" w:ascii="微软雅黑" w:hAnsi="微软雅黑" w:eastAsia="微软雅黑" w:cs="微软雅黑"/>
                <w:sz w:val="21"/>
                <w:szCs w:val="21"/>
              </w:rPr>
              <w:t>1.2M以下儿童仅含当地旅游车位及导游服务，其他产生任何费用现付。</w:t>
            </w:r>
          </w:p>
          <w:p w14:paraId="74B3BE0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eastAsia="zh-CN"/>
              </w:rPr>
            </w:pPr>
            <w:r>
              <w:rPr>
                <w:rFonts w:hint="eastAsia" w:ascii="微软雅黑" w:hAnsi="微软雅黑" w:eastAsia="微软雅黑" w:cs="微软雅黑"/>
                <w:sz w:val="21"/>
                <w:szCs w:val="21"/>
              </w:rPr>
              <w:t>注：根据运管部门的相关规定，凡带儿童出团旅游的游客，不管多大的小孩必须占座位！报团的时候请告知旅行社是否有小孩跟随，如有隐瞒，司机发现超载拒绝驾驶，同时有权请客人下车！</w:t>
            </w:r>
          </w:p>
        </w:tc>
      </w:tr>
      <w:tr w14:paraId="054C0B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605AC018">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512DEA69">
            <w:pPr>
              <w:spacing w:line="360" w:lineRule="exact"/>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长  沙：丽日王朝，和平里，妮儿府，万德（中南大学店），鑫达贵都、逸欣雅悦，兰亭湾畔，菲尼斯卡，麓枫，丽程和一或同级</w:t>
            </w:r>
          </w:p>
          <w:p w14:paraId="56E797F7">
            <w:pPr>
              <w:spacing w:line="360" w:lineRule="exact"/>
              <w:rPr>
                <w:rFonts w:hint="eastAsia" w:ascii="微软雅黑 Light" w:hAnsi="微软雅黑 Light" w:eastAsia="微软雅黑" w:cs="微软雅黑 Light"/>
                <w:color w:val="292929"/>
                <w:kern w:val="0"/>
                <w:sz w:val="28"/>
                <w:szCs w:val="28"/>
                <w:lang w:val="en-US" w:eastAsia="zh-CN" w:bidi="ar-SA"/>
              </w:rPr>
            </w:pPr>
            <w:r>
              <w:rPr>
                <w:rFonts w:hint="eastAsia" w:ascii="微软雅黑" w:hAnsi="微软雅黑" w:eastAsia="微软雅黑" w:cs="微软雅黑"/>
                <w:sz w:val="21"/>
                <w:szCs w:val="21"/>
                <w:lang w:val="en-US" w:eastAsia="zh-CN"/>
              </w:rPr>
              <w:t>郴  州：宝莲花，高职院，皇晨，尚尔，三元酒店，百汇假日，隐沫酒店，府上轻居，皇晨，和丰悦眠，府上轻居，府上兴隆步行街店2号楼，府上南塔店，高职院大酒店、尚尔酒店或同级；</w:t>
            </w:r>
          </w:p>
        </w:tc>
      </w:tr>
      <w:tr w14:paraId="39DD73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DB6E6B0">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19BAD8F6">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806D3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1AD3549B">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44EA2B1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67EDCEC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41239E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18C12C5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1C16F5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26EB3CC0">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28E94F9">
            <w:pPr>
              <w:keepNext w:val="0"/>
              <w:keepLines w:val="0"/>
              <w:pageBreakBefore w:val="0"/>
              <w:kinsoku/>
              <w:wordWrap/>
              <w:overflowPunct/>
              <w:topLinePunct w:val="0"/>
              <w:autoSpaceDE/>
              <w:bidi w:val="0"/>
              <w:spacing w:after="156" w:afterLines="50"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bCs/>
                <w:color w:val="000000"/>
                <w:szCs w:val="21"/>
              </w:rPr>
              <w:t>1</w:t>
            </w:r>
            <w:r>
              <w:rPr>
                <w:rFonts w:hint="eastAsia" w:ascii="微软雅黑" w:hAnsi="微软雅黑" w:eastAsia="微软雅黑" w:cs="黑体"/>
                <w:color w:val="000000"/>
                <w:szCs w:val="21"/>
              </w:rPr>
              <w:t>、团友投诉处理以在当地填写的意见反馈表或电子调查表为准，请各位团友认真填写。</w:t>
            </w:r>
          </w:p>
          <w:p w14:paraId="5C1A78EE">
            <w:pPr>
              <w:keepNext w:val="0"/>
              <w:keepLines w:val="0"/>
              <w:pageBreakBefore w:val="0"/>
              <w:tabs>
                <w:tab w:val="left" w:pos="1862"/>
                <w:tab w:val="left" w:pos="4074"/>
              </w:tabs>
              <w:kinsoku/>
              <w:wordWrap/>
              <w:overflowPunct/>
              <w:topLinePunct w:val="0"/>
              <w:autoSpaceDE/>
              <w:bidi w:val="0"/>
              <w:adjustRightInd w:val="0"/>
              <w:snapToGrid w:val="0"/>
              <w:spacing w:line="360" w:lineRule="exact"/>
              <w:ind w:right="32"/>
              <w:textAlignment w:val="auto"/>
              <w:rPr>
                <w:rFonts w:hint="eastAsia" w:ascii="微软雅黑" w:hAnsi="微软雅黑" w:eastAsia="微软雅黑" w:cs="黑体"/>
                <w:color w:val="000000"/>
                <w:szCs w:val="21"/>
              </w:rPr>
            </w:pPr>
            <w:r>
              <w:rPr>
                <w:rFonts w:hint="eastAsia" w:ascii="微软雅黑" w:hAnsi="微软雅黑" w:eastAsia="微软雅黑" w:cs="黑体"/>
                <w:bCs/>
                <w:color w:val="000000"/>
                <w:szCs w:val="21"/>
              </w:rPr>
              <w:t>2、</w:t>
            </w:r>
            <w:r>
              <w:rPr>
                <w:rFonts w:hint="eastAsia" w:ascii="微软雅黑" w:hAnsi="微软雅黑" w:eastAsia="微软雅黑" w:cs="黑体"/>
                <w:color w:val="000000"/>
                <w:szCs w:val="21"/>
              </w:rPr>
              <w:t>因自然灾害等人力不可抗拒因素造成的行程延误或变更，由此产生的费用由客人自理。</w:t>
            </w:r>
          </w:p>
          <w:p w14:paraId="3CC01122">
            <w:pPr>
              <w:keepNext w:val="0"/>
              <w:keepLines w:val="0"/>
              <w:pageBreakBefore w:val="0"/>
              <w:tabs>
                <w:tab w:val="left" w:pos="1862"/>
                <w:tab w:val="left" w:pos="4074"/>
              </w:tabs>
              <w:kinsoku/>
              <w:wordWrap/>
              <w:overflowPunct/>
              <w:topLinePunct w:val="0"/>
              <w:autoSpaceDE/>
              <w:bidi w:val="0"/>
              <w:adjustRightInd w:val="0"/>
              <w:snapToGrid w:val="0"/>
              <w:spacing w:line="360" w:lineRule="exact"/>
              <w:ind w:left="420" w:right="32" w:hanging="420" w:hangingChars="200"/>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3、</w:t>
            </w:r>
            <w:r>
              <w:rPr>
                <w:rFonts w:hint="eastAsia" w:ascii="微软雅黑" w:hAnsi="微软雅黑" w:eastAsia="微软雅黑" w:cs="黑体"/>
                <w:snapToGrid w:val="0"/>
                <w:color w:val="000000"/>
                <w:kern w:val="21"/>
                <w:szCs w:val="21"/>
              </w:rPr>
              <w:t>请客人保证老人身体健康，如旅途中因老人身体原因引起的意外，我社概不负责，</w:t>
            </w:r>
            <w:r>
              <w:rPr>
                <w:rFonts w:hint="eastAsia" w:ascii="微软雅黑" w:hAnsi="微软雅黑" w:eastAsia="微软雅黑" w:cs="黑体"/>
                <w:bCs/>
                <w:snapToGrid w:val="0"/>
                <w:color w:val="000000"/>
                <w:kern w:val="21"/>
                <w:szCs w:val="21"/>
              </w:rPr>
              <w:t>请各游客根据自身情况，自备应急药品</w:t>
            </w:r>
            <w:r>
              <w:rPr>
                <w:rFonts w:hint="eastAsia" w:ascii="微软雅黑" w:hAnsi="微软雅黑" w:eastAsia="微软雅黑" w:cs="黑体"/>
                <w:snapToGrid w:val="0"/>
                <w:color w:val="000000"/>
                <w:kern w:val="21"/>
                <w:szCs w:val="21"/>
              </w:rPr>
              <w:t>；</w:t>
            </w:r>
          </w:p>
          <w:p w14:paraId="4C05AF36">
            <w:pPr>
              <w:keepNext w:val="0"/>
              <w:keepLines w:val="0"/>
              <w:pageBreakBefore w:val="0"/>
              <w:kinsoku/>
              <w:wordWrap/>
              <w:overflowPunct/>
              <w:topLinePunct w:val="0"/>
              <w:autoSpaceDE/>
              <w:bidi w:val="0"/>
              <w:spacing w:line="360" w:lineRule="exact"/>
              <w:textAlignment w:val="auto"/>
              <w:rPr>
                <w:rFonts w:hint="eastAsia" w:ascii="微软雅黑" w:hAnsi="微软雅黑" w:eastAsia="微软雅黑" w:cs="黑体"/>
                <w:snapToGrid w:val="0"/>
                <w:color w:val="000000"/>
                <w:kern w:val="21"/>
                <w:szCs w:val="21"/>
                <w:shd w:val="clear" w:color="auto" w:fill="FFFFFF"/>
              </w:rPr>
            </w:pPr>
            <w:r>
              <w:rPr>
                <w:rFonts w:hint="eastAsia" w:ascii="微软雅黑" w:hAnsi="微软雅黑" w:eastAsia="微软雅黑" w:cs="黑体"/>
                <w:color w:val="000000"/>
                <w:szCs w:val="21"/>
              </w:rPr>
              <w:t>4、</w:t>
            </w:r>
            <w:r>
              <w:rPr>
                <w:rFonts w:hint="eastAsia" w:ascii="微软雅黑" w:hAnsi="微软雅黑" w:eastAsia="微软雅黑" w:cs="黑体"/>
                <w:snapToGrid w:val="0"/>
                <w:color w:val="000000"/>
                <w:kern w:val="21"/>
                <w:szCs w:val="21"/>
              </w:rPr>
              <w:t>此团为散客拼团，请遵守集合时间.提前2小时以上抵达机场办理登记手续.</w:t>
            </w:r>
          </w:p>
          <w:p w14:paraId="04DB7B7F">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5、此团种采购为捆绑式采购，行程中因参团方原因或不可抗拒因素导致不能完成的项目，恕不退费。</w:t>
            </w:r>
          </w:p>
          <w:p w14:paraId="4C142B65">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6、行程所排景点游览顺序供参考，游览先后顺序以当团导游安排为准，保证不减少景点。</w:t>
            </w:r>
          </w:p>
          <w:p w14:paraId="665B893F">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7、乘车、住宿登记等必须凭有效身份证件原件（儿童携带户口簿原件或复印件），此原因造成损失，游客自己承担。</w:t>
            </w:r>
          </w:p>
          <w:p w14:paraId="1711D6CF">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8、如因交通管制、交通事故以及天气等不可抗拒因素导致行程延误或变更,我社积极配合处理，增加费用由游客自理。</w:t>
            </w:r>
          </w:p>
          <w:p w14:paraId="5A2BB448">
            <w:pPr>
              <w:keepNext w:val="0"/>
              <w:keepLines w:val="0"/>
              <w:pageBreakBefore w:val="0"/>
              <w:kinsoku/>
              <w:wordWrap/>
              <w:overflowPunct/>
              <w:topLinePunct w:val="0"/>
              <w:autoSpaceDE/>
              <w:autoSpaceDN w:val="0"/>
              <w:bidi w:val="0"/>
              <w:spacing w:line="360" w:lineRule="exact"/>
              <w:ind w:left="315" w:hanging="315" w:hangingChars="150"/>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9、景区景点按照规定时间接待游客，旅行社会尽力安排好参观时间，如堵车等不可抗拒因素出现特殊情况，旅行社不承担赔偿责任。</w:t>
            </w:r>
          </w:p>
          <w:p w14:paraId="67E18FFA">
            <w:pPr>
              <w:keepNext w:val="0"/>
              <w:keepLines w:val="0"/>
              <w:pageBreakBefore w:val="0"/>
              <w:kinsoku/>
              <w:wordWrap/>
              <w:overflowPunct/>
              <w:topLinePunct w:val="0"/>
              <w:autoSpaceDE/>
              <w:autoSpaceDN w:val="0"/>
              <w:bidi w:val="0"/>
              <w:spacing w:line="360" w:lineRule="exact"/>
              <w:ind w:left="315" w:hanging="315" w:hangingChars="150"/>
              <w:textAlignment w:val="auto"/>
              <w:rPr>
                <w:rFonts w:hint="eastAsia" w:ascii="微软雅黑" w:hAnsi="微软雅黑" w:eastAsia="微软雅黑" w:cs="黑体"/>
                <w:b/>
                <w:color w:val="000000"/>
                <w:szCs w:val="21"/>
              </w:rPr>
            </w:pPr>
            <w:r>
              <w:rPr>
                <w:rFonts w:hint="eastAsia" w:ascii="微软雅黑" w:hAnsi="微软雅黑" w:eastAsia="微软雅黑" w:cs="黑体"/>
                <w:color w:val="000000"/>
                <w:szCs w:val="21"/>
              </w:rPr>
              <w:t>10、出游期间，如景区、餐厅、交通车等比较拥堵，请耐心等待，相互礼让。导游会努力与各方衔接，请听从导游安排，以免耽误行程，如有等候，敬请谅解。</w:t>
            </w:r>
          </w:p>
          <w:p w14:paraId="6A07DFA0">
            <w:pPr>
              <w:keepNext w:val="0"/>
              <w:keepLines w:val="0"/>
              <w:pageBreakBefore w:val="0"/>
              <w:kinsoku/>
              <w:wordWrap/>
              <w:overflowPunct/>
              <w:topLinePunct w:val="0"/>
              <w:autoSpaceDE/>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b/>
                <w:color w:val="000000"/>
                <w:szCs w:val="21"/>
              </w:rPr>
              <w:t>■</w:t>
            </w:r>
            <w:r>
              <w:rPr>
                <w:rFonts w:hint="eastAsia" w:ascii="微软雅黑" w:hAnsi="微软雅黑" w:eastAsia="微软雅黑" w:cs="黑体"/>
                <w:color w:val="000000"/>
                <w:szCs w:val="21"/>
              </w:rPr>
              <w:t xml:space="preserve"> </w:t>
            </w:r>
            <w:r>
              <w:rPr>
                <w:rFonts w:hint="eastAsia" w:ascii="微软雅黑" w:hAnsi="微软雅黑" w:eastAsia="微软雅黑" w:cs="黑体"/>
                <w:b/>
                <w:color w:val="000000"/>
                <w:szCs w:val="21"/>
              </w:rPr>
              <w:t>温馨提示</w:t>
            </w:r>
          </w:p>
          <w:p w14:paraId="4963EB8C">
            <w:pPr>
              <w:keepNext w:val="0"/>
              <w:keepLines w:val="0"/>
              <w:pageBreakBefore w:val="0"/>
              <w:kinsoku/>
              <w:wordWrap/>
              <w:overflowPunct/>
              <w:topLinePunct w:val="0"/>
              <w:autoSpaceDE/>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1、 苏荷酒吧、88酒吧等，酒吧消费不低，而且生意特别好，最好提前定位；请注意安全，尽量不与陌生人说话，特别是别与当地人发生冲突；郴州夜生活丰富，敬请客人自重，拒绝黄赌毒；请游客在游玩过程中注意人身和财物安全！</w:t>
            </w:r>
          </w:p>
          <w:p w14:paraId="53105A9D">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2、自由活动期间，尽量避免单独出行,并记住导游、同行人员的联系方式、下榻酒店名称、位置。</w:t>
            </w:r>
          </w:p>
          <w:p w14:paraId="39BD7811">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3、照相机、摄像机电池、胶卷、带子、充电器要准备充分。不要吝啬自己的胶卷,否则,回到家你就后悔莫及了。</w:t>
            </w:r>
          </w:p>
          <w:p w14:paraId="29AF17DC">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4、必须保管好自己的证件、钱币、机票以及其他物品。</w:t>
            </w:r>
          </w:p>
          <w:p w14:paraId="45CDAA15">
            <w:pPr>
              <w:keepNext w:val="0"/>
              <w:keepLines w:val="0"/>
              <w:pageBreakBefore w:val="0"/>
              <w:widowControl/>
              <w:kinsoku/>
              <w:wordWrap/>
              <w:overflowPunct/>
              <w:topLinePunct w:val="0"/>
              <w:autoSpaceDE/>
              <w:bidi w:val="0"/>
              <w:spacing w:line="360" w:lineRule="exact"/>
              <w:jc w:val="lef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5、晕车、晕船者,搭乘前宜喝一杯冷水,搭乘时勿吃甜食。</w:t>
            </w:r>
          </w:p>
          <w:p w14:paraId="0E081FDD">
            <w:pPr>
              <w:keepNext w:val="0"/>
              <w:keepLines w:val="0"/>
              <w:pageBreakBefore w:val="0"/>
              <w:kinsoku/>
              <w:wordWrap/>
              <w:overflowPunct/>
              <w:topLinePunct w:val="0"/>
              <w:autoSpaceDE/>
              <w:autoSpaceDN w:val="0"/>
              <w:bidi w:val="0"/>
              <w:spacing w:line="360" w:lineRule="exact"/>
              <w:ind w:left="420" w:hanging="420" w:hangingChars="200"/>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6、注意各项安全事宜，如：车辆行驶过程中请勿站立；走路不看景，看景不走路等安全原则；请留意并遵守景区的各项安全规定；火灾是森林的大敌，游客切记防火；</w:t>
            </w:r>
          </w:p>
          <w:p w14:paraId="770EF19C">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7、行程有温泉项目，请自备泳衣泳裤，参与前必须严格遵守各项景区景点规定（景点均有安全须知公示）。；</w:t>
            </w:r>
          </w:p>
          <w:p w14:paraId="473539A8">
            <w:pPr>
              <w:keepNext w:val="0"/>
              <w:keepLines w:val="0"/>
              <w:pageBreakBefore w:val="0"/>
              <w:widowControl w:val="0"/>
              <w:kinsoku/>
              <w:wordWrap/>
              <w:overflowPunct/>
              <w:topLinePunct w:val="0"/>
              <w:autoSpaceDE/>
              <w:autoSpaceDN/>
              <w:bidi w:val="0"/>
              <w:adjustRightInd/>
              <w:snapToGrid/>
              <w:spacing w:before="60" w:after="120" w:line="360" w:lineRule="exact"/>
              <w:jc w:val="center"/>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8、凡报名参加者均视为具有完全民事行为能力人，建议每位队员购买相关旅游意外险，如果出现意外的情况下由保险公司负责完全赔付。凡报名者均视为接受本声明，凡被代报名参加者均视为已通过代他人报名者知晓以上注意事项并接受本声明</w:t>
            </w:r>
          </w:p>
          <w:p w14:paraId="1116D2EA">
            <w:pPr>
              <w:keepNext w:val="0"/>
              <w:keepLines w:val="0"/>
              <w:pageBreakBefore w:val="0"/>
              <w:widowControl w:val="0"/>
              <w:kinsoku/>
              <w:wordWrap/>
              <w:overflowPunct/>
              <w:topLinePunct w:val="0"/>
              <w:autoSpaceDE/>
              <w:autoSpaceDN/>
              <w:bidi w:val="0"/>
              <w:adjustRightInd/>
              <w:snapToGrid/>
              <w:spacing w:before="60" w:after="120" w:line="360" w:lineRule="exact"/>
              <w:jc w:val="center"/>
              <w:textAlignment w:val="auto"/>
              <w:rPr>
                <w:rFonts w:hint="default" w:ascii="微软雅黑 Light" w:hAnsi="微软雅黑 Light" w:eastAsia="微软雅黑 Light" w:cs="微软雅黑 Light"/>
                <w:b/>
                <w:bCs/>
                <w:color w:val="292929"/>
                <w:kern w:val="0"/>
                <w:sz w:val="36"/>
                <w:szCs w:val="36"/>
                <w:lang w:val="en-US" w:eastAsia="zh-CN" w:bidi="ar-SA"/>
              </w:rPr>
            </w:pPr>
            <w:r>
              <w:rPr>
                <w:rFonts w:hint="eastAsia" w:ascii="微软雅黑 Light" w:hAnsi="微软雅黑 Light" w:eastAsia="微软雅黑 Light" w:cs="微软雅黑 Light"/>
                <w:b/>
                <w:bCs/>
                <w:color w:val="292929"/>
                <w:kern w:val="0"/>
                <w:sz w:val="36"/>
                <w:szCs w:val="36"/>
                <w:lang w:val="en-US" w:eastAsia="zh-CN" w:bidi="ar-SA"/>
              </w:rPr>
              <w:t>特 别 说 明</w:t>
            </w:r>
          </w:p>
          <w:p w14:paraId="5D9C88A5">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420" w:firstLineChars="20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在以下不可抗力事件发生的情况下，为避免该事件对贵宾、旅行社权益损害，我社有权调换行程顺序、减少不可抗力事件发生的旅游景点、经双方协商解除旅游合同，涉及相关退费以旅行社行程计划为主！因不可抗力不能履行民事义务的，不承担民事责任！</w:t>
            </w:r>
          </w:p>
          <w:p w14:paraId="32F62E8B">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0" w:firstLineChars="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 xml:space="preserve">一、自然灾害、如台风、洪水、冰雹、凝冻； </w:t>
            </w:r>
          </w:p>
          <w:p w14:paraId="0AF6E22E">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0" w:firstLineChars="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 xml:space="preserve">二、政府行为，如征收、征用； </w:t>
            </w:r>
          </w:p>
          <w:p w14:paraId="318AEBC5">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0" w:firstLineChars="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三、社会异常事件，如罢工、骚乱；</w:t>
            </w:r>
          </w:p>
          <w:p w14:paraId="2BAFE9FC">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Light" w:hAnsi="微软雅黑 Light" w:eastAsia="微软雅黑 Light" w:cs="微软雅黑 Light"/>
                <w:color w:val="292929"/>
                <w:kern w:val="0"/>
                <w:sz w:val="28"/>
                <w:szCs w:val="28"/>
                <w:lang w:val="en-US" w:eastAsia="zh-CN" w:bidi="ar-SA"/>
              </w:rPr>
            </w:pPr>
            <w:r>
              <w:rPr>
                <w:rFonts w:hint="eastAsia" w:ascii="微软雅黑" w:hAnsi="微软雅黑" w:eastAsia="微软雅黑" w:cs="微软雅黑"/>
                <w:color w:val="292929"/>
                <w:kern w:val="0"/>
                <w:sz w:val="21"/>
                <w:szCs w:val="21"/>
                <w:lang w:val="en-US" w:eastAsia="zh-CN" w:bidi="ar-SA"/>
              </w:rPr>
              <w:t>四、疫情；</w:t>
            </w:r>
          </w:p>
        </w:tc>
      </w:tr>
    </w:tbl>
    <w:p w14:paraId="64498724">
      <w:pPr>
        <w:pStyle w:val="5"/>
        <w:rPr>
          <w:rFonts w:hint="eastAsia"/>
          <w:lang w:eastAsia="zh-CN"/>
        </w:rPr>
      </w:pPr>
    </w:p>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微软雅黑 Light">
    <w:panose1 w:val="020B0502040204020203"/>
    <w:charset w:val="86"/>
    <w:family w:val="auto"/>
    <w:pitch w:val="default"/>
    <w:sig w:usb0="80000287" w:usb1="2ACF001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404B3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0F9ED">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BF578DC"/>
    <w:multiLevelType w:val="singleLevel"/>
    <w:tmpl w:val="EBF578DC"/>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M0YmM5ZTU3MTNiNTY3NTBhZDM0NTBjY2ExZmI4ODE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42300C0"/>
    <w:rsid w:val="0465215B"/>
    <w:rsid w:val="049B73DF"/>
    <w:rsid w:val="05077321"/>
    <w:rsid w:val="055664B3"/>
    <w:rsid w:val="05BB103F"/>
    <w:rsid w:val="05C8291B"/>
    <w:rsid w:val="05EB75A5"/>
    <w:rsid w:val="060C6EB5"/>
    <w:rsid w:val="065A394B"/>
    <w:rsid w:val="06A27213"/>
    <w:rsid w:val="06BA3154"/>
    <w:rsid w:val="06C8688F"/>
    <w:rsid w:val="06D25850"/>
    <w:rsid w:val="06E07468"/>
    <w:rsid w:val="0704296D"/>
    <w:rsid w:val="07134710"/>
    <w:rsid w:val="072C1A93"/>
    <w:rsid w:val="073B1CE0"/>
    <w:rsid w:val="07723FAA"/>
    <w:rsid w:val="07D30491"/>
    <w:rsid w:val="07E9375F"/>
    <w:rsid w:val="080639DA"/>
    <w:rsid w:val="08646556"/>
    <w:rsid w:val="08863B53"/>
    <w:rsid w:val="089B2EF1"/>
    <w:rsid w:val="08E5797A"/>
    <w:rsid w:val="091D389B"/>
    <w:rsid w:val="09337B5B"/>
    <w:rsid w:val="09420551"/>
    <w:rsid w:val="098442F1"/>
    <w:rsid w:val="09C35CEF"/>
    <w:rsid w:val="09D10E6F"/>
    <w:rsid w:val="09E225A5"/>
    <w:rsid w:val="09E71B0D"/>
    <w:rsid w:val="09F65C36"/>
    <w:rsid w:val="09FB503E"/>
    <w:rsid w:val="0A735171"/>
    <w:rsid w:val="0A8473AE"/>
    <w:rsid w:val="0A8A2888"/>
    <w:rsid w:val="0A9760CA"/>
    <w:rsid w:val="0AB416DB"/>
    <w:rsid w:val="0B4A3C17"/>
    <w:rsid w:val="0B7C24E7"/>
    <w:rsid w:val="0B7F3A6A"/>
    <w:rsid w:val="0B9B10B5"/>
    <w:rsid w:val="0BF25217"/>
    <w:rsid w:val="0C096925"/>
    <w:rsid w:val="0C450D6C"/>
    <w:rsid w:val="0C5919D1"/>
    <w:rsid w:val="0C6F3428"/>
    <w:rsid w:val="0C7E69E5"/>
    <w:rsid w:val="0CE63B48"/>
    <w:rsid w:val="0D5F66AE"/>
    <w:rsid w:val="0D6C10EE"/>
    <w:rsid w:val="0DC9323A"/>
    <w:rsid w:val="0E4949A1"/>
    <w:rsid w:val="0E850379"/>
    <w:rsid w:val="0EDC68F7"/>
    <w:rsid w:val="0EE84465"/>
    <w:rsid w:val="0EF273CF"/>
    <w:rsid w:val="10F16AE3"/>
    <w:rsid w:val="110513E7"/>
    <w:rsid w:val="11427B0D"/>
    <w:rsid w:val="11B34360"/>
    <w:rsid w:val="12361B78"/>
    <w:rsid w:val="12EF0A4F"/>
    <w:rsid w:val="13371388"/>
    <w:rsid w:val="136A4169"/>
    <w:rsid w:val="13EC55EC"/>
    <w:rsid w:val="13F66591"/>
    <w:rsid w:val="14321F2A"/>
    <w:rsid w:val="143C7B63"/>
    <w:rsid w:val="150D1EBE"/>
    <w:rsid w:val="159C58D1"/>
    <w:rsid w:val="15B0279D"/>
    <w:rsid w:val="15B36F61"/>
    <w:rsid w:val="15D42860"/>
    <w:rsid w:val="15FF7837"/>
    <w:rsid w:val="162B39A0"/>
    <w:rsid w:val="169307D1"/>
    <w:rsid w:val="16960D6D"/>
    <w:rsid w:val="16F7733F"/>
    <w:rsid w:val="17222925"/>
    <w:rsid w:val="17A77194"/>
    <w:rsid w:val="17AB7D29"/>
    <w:rsid w:val="17AE51C3"/>
    <w:rsid w:val="17AF7A04"/>
    <w:rsid w:val="183B6DAB"/>
    <w:rsid w:val="189A56D0"/>
    <w:rsid w:val="18BC4164"/>
    <w:rsid w:val="198F3627"/>
    <w:rsid w:val="19B07A1C"/>
    <w:rsid w:val="19F63A29"/>
    <w:rsid w:val="1A066980"/>
    <w:rsid w:val="1A202464"/>
    <w:rsid w:val="1A371E92"/>
    <w:rsid w:val="1A4B1305"/>
    <w:rsid w:val="1A76740C"/>
    <w:rsid w:val="1AF24969"/>
    <w:rsid w:val="1B4A6010"/>
    <w:rsid w:val="1BA04EFC"/>
    <w:rsid w:val="1C4C0D55"/>
    <w:rsid w:val="1C4E38DD"/>
    <w:rsid w:val="1CA647A6"/>
    <w:rsid w:val="1CA66D5E"/>
    <w:rsid w:val="1CE60476"/>
    <w:rsid w:val="1CED73D2"/>
    <w:rsid w:val="1D1F4CA2"/>
    <w:rsid w:val="1D5840F2"/>
    <w:rsid w:val="1D5C01C9"/>
    <w:rsid w:val="1DFE2773"/>
    <w:rsid w:val="1E3501C4"/>
    <w:rsid w:val="1E841FFE"/>
    <w:rsid w:val="1F246147"/>
    <w:rsid w:val="1F4D65B6"/>
    <w:rsid w:val="1FBC28E0"/>
    <w:rsid w:val="1FE9122A"/>
    <w:rsid w:val="200F7270"/>
    <w:rsid w:val="205B6E3B"/>
    <w:rsid w:val="20C45EF0"/>
    <w:rsid w:val="21B76F72"/>
    <w:rsid w:val="22233137"/>
    <w:rsid w:val="22464DDD"/>
    <w:rsid w:val="22586EEA"/>
    <w:rsid w:val="22840166"/>
    <w:rsid w:val="22E744D4"/>
    <w:rsid w:val="23D5466C"/>
    <w:rsid w:val="23E40D09"/>
    <w:rsid w:val="244B5D34"/>
    <w:rsid w:val="24AC5F28"/>
    <w:rsid w:val="24D80578"/>
    <w:rsid w:val="24EF6A24"/>
    <w:rsid w:val="257A557F"/>
    <w:rsid w:val="25986633"/>
    <w:rsid w:val="259A25D7"/>
    <w:rsid w:val="26A435E6"/>
    <w:rsid w:val="27026F8E"/>
    <w:rsid w:val="27083730"/>
    <w:rsid w:val="27914A0E"/>
    <w:rsid w:val="27A537A4"/>
    <w:rsid w:val="27AE5018"/>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85A4A"/>
    <w:rsid w:val="29ED0967"/>
    <w:rsid w:val="2A397D52"/>
    <w:rsid w:val="2A4B564D"/>
    <w:rsid w:val="2B386221"/>
    <w:rsid w:val="2BAB2B4A"/>
    <w:rsid w:val="2BE02D66"/>
    <w:rsid w:val="2BF57730"/>
    <w:rsid w:val="2C493A17"/>
    <w:rsid w:val="2CB96718"/>
    <w:rsid w:val="2CF439DB"/>
    <w:rsid w:val="2D234CF5"/>
    <w:rsid w:val="2D3B0A92"/>
    <w:rsid w:val="2DC860A6"/>
    <w:rsid w:val="2DF67CC1"/>
    <w:rsid w:val="2EB607D0"/>
    <w:rsid w:val="2EC75720"/>
    <w:rsid w:val="2EDE4234"/>
    <w:rsid w:val="2EE948D6"/>
    <w:rsid w:val="2EF53261"/>
    <w:rsid w:val="2F046E1E"/>
    <w:rsid w:val="2F357C66"/>
    <w:rsid w:val="2F4F4441"/>
    <w:rsid w:val="2FE11772"/>
    <w:rsid w:val="30BA4CEE"/>
    <w:rsid w:val="30DF0305"/>
    <w:rsid w:val="3143321D"/>
    <w:rsid w:val="315D7DA4"/>
    <w:rsid w:val="31646571"/>
    <w:rsid w:val="31720135"/>
    <w:rsid w:val="319A0FE4"/>
    <w:rsid w:val="31F10857"/>
    <w:rsid w:val="321C2BAF"/>
    <w:rsid w:val="32A3555E"/>
    <w:rsid w:val="32C2475E"/>
    <w:rsid w:val="331B16C0"/>
    <w:rsid w:val="33261046"/>
    <w:rsid w:val="33963A1E"/>
    <w:rsid w:val="33A15FD9"/>
    <w:rsid w:val="33DD2C4D"/>
    <w:rsid w:val="33FC4F3D"/>
    <w:rsid w:val="342E081E"/>
    <w:rsid w:val="349445BF"/>
    <w:rsid w:val="358931C8"/>
    <w:rsid w:val="358C22F5"/>
    <w:rsid w:val="36276C4F"/>
    <w:rsid w:val="36472702"/>
    <w:rsid w:val="36775E73"/>
    <w:rsid w:val="370F5DD1"/>
    <w:rsid w:val="371B773A"/>
    <w:rsid w:val="37305A51"/>
    <w:rsid w:val="37B05251"/>
    <w:rsid w:val="37FA789F"/>
    <w:rsid w:val="37FF748C"/>
    <w:rsid w:val="381F242D"/>
    <w:rsid w:val="3901371D"/>
    <w:rsid w:val="39B44CE2"/>
    <w:rsid w:val="39ED3ED1"/>
    <w:rsid w:val="3A297CD2"/>
    <w:rsid w:val="3A9665B5"/>
    <w:rsid w:val="3AB309C7"/>
    <w:rsid w:val="3B4B164C"/>
    <w:rsid w:val="3C0C0AA1"/>
    <w:rsid w:val="3C164A8D"/>
    <w:rsid w:val="3C4D011D"/>
    <w:rsid w:val="3C5710E9"/>
    <w:rsid w:val="3CB7466E"/>
    <w:rsid w:val="3DB86D58"/>
    <w:rsid w:val="3E0E35C3"/>
    <w:rsid w:val="3E2245A8"/>
    <w:rsid w:val="3E6413E1"/>
    <w:rsid w:val="3F1E55F3"/>
    <w:rsid w:val="3F440007"/>
    <w:rsid w:val="3F711169"/>
    <w:rsid w:val="3F895B21"/>
    <w:rsid w:val="3FC93043"/>
    <w:rsid w:val="406B3968"/>
    <w:rsid w:val="407A3382"/>
    <w:rsid w:val="40B04456"/>
    <w:rsid w:val="40FB5581"/>
    <w:rsid w:val="4119604E"/>
    <w:rsid w:val="42090DDA"/>
    <w:rsid w:val="4226335B"/>
    <w:rsid w:val="42601C60"/>
    <w:rsid w:val="428E46BB"/>
    <w:rsid w:val="429152B6"/>
    <w:rsid w:val="429945EC"/>
    <w:rsid w:val="43170206"/>
    <w:rsid w:val="43B6787E"/>
    <w:rsid w:val="43C51CEE"/>
    <w:rsid w:val="43D93497"/>
    <w:rsid w:val="442C6A73"/>
    <w:rsid w:val="449414B5"/>
    <w:rsid w:val="44C256D2"/>
    <w:rsid w:val="45295867"/>
    <w:rsid w:val="459840BF"/>
    <w:rsid w:val="45EB289C"/>
    <w:rsid w:val="460401AE"/>
    <w:rsid w:val="46335606"/>
    <w:rsid w:val="46446916"/>
    <w:rsid w:val="46454B73"/>
    <w:rsid w:val="46486737"/>
    <w:rsid w:val="46A00465"/>
    <w:rsid w:val="4762127A"/>
    <w:rsid w:val="47830661"/>
    <w:rsid w:val="47B24A23"/>
    <w:rsid w:val="47E8112C"/>
    <w:rsid w:val="47EA5D88"/>
    <w:rsid w:val="4836317F"/>
    <w:rsid w:val="487842FA"/>
    <w:rsid w:val="48B6105C"/>
    <w:rsid w:val="48E63442"/>
    <w:rsid w:val="4976505A"/>
    <w:rsid w:val="49ED548C"/>
    <w:rsid w:val="4A050C18"/>
    <w:rsid w:val="4A4A4481"/>
    <w:rsid w:val="4AC07235"/>
    <w:rsid w:val="4AEA0845"/>
    <w:rsid w:val="4B6906D1"/>
    <w:rsid w:val="4B711B74"/>
    <w:rsid w:val="4BB2692D"/>
    <w:rsid w:val="4C212059"/>
    <w:rsid w:val="4C813A93"/>
    <w:rsid w:val="4C887A2D"/>
    <w:rsid w:val="4CB521FE"/>
    <w:rsid w:val="4CBD4329"/>
    <w:rsid w:val="4CDB3060"/>
    <w:rsid w:val="4CF0081A"/>
    <w:rsid w:val="4D1657C9"/>
    <w:rsid w:val="4D1C581A"/>
    <w:rsid w:val="4D576E1A"/>
    <w:rsid w:val="4D5D122C"/>
    <w:rsid w:val="4D832CE2"/>
    <w:rsid w:val="4DC834CB"/>
    <w:rsid w:val="4ECB44D1"/>
    <w:rsid w:val="4ED93AEE"/>
    <w:rsid w:val="4F0202B4"/>
    <w:rsid w:val="4F293D1D"/>
    <w:rsid w:val="4F2D45BF"/>
    <w:rsid w:val="4F3802E4"/>
    <w:rsid w:val="4F5F5742"/>
    <w:rsid w:val="4FA02EC7"/>
    <w:rsid w:val="508D440A"/>
    <w:rsid w:val="5103733B"/>
    <w:rsid w:val="511E308E"/>
    <w:rsid w:val="51217D24"/>
    <w:rsid w:val="51560851"/>
    <w:rsid w:val="521603C2"/>
    <w:rsid w:val="523C2D3F"/>
    <w:rsid w:val="52992947"/>
    <w:rsid w:val="52D7336D"/>
    <w:rsid w:val="52F03774"/>
    <w:rsid w:val="53187879"/>
    <w:rsid w:val="538B0C1D"/>
    <w:rsid w:val="53C84C9E"/>
    <w:rsid w:val="54027369"/>
    <w:rsid w:val="540602EE"/>
    <w:rsid w:val="54C97A24"/>
    <w:rsid w:val="54EC6085"/>
    <w:rsid w:val="551A3EF8"/>
    <w:rsid w:val="551D1091"/>
    <w:rsid w:val="557469FA"/>
    <w:rsid w:val="55CF021E"/>
    <w:rsid w:val="55D93D68"/>
    <w:rsid w:val="561720BD"/>
    <w:rsid w:val="56405548"/>
    <w:rsid w:val="56511950"/>
    <w:rsid w:val="56693A34"/>
    <w:rsid w:val="56891D8F"/>
    <w:rsid w:val="56C02F6A"/>
    <w:rsid w:val="56E30533"/>
    <w:rsid w:val="56EA6CD1"/>
    <w:rsid w:val="570D43E2"/>
    <w:rsid w:val="57C31B98"/>
    <w:rsid w:val="57DC0762"/>
    <w:rsid w:val="580C3794"/>
    <w:rsid w:val="581546AF"/>
    <w:rsid w:val="58744AC1"/>
    <w:rsid w:val="58B61A9D"/>
    <w:rsid w:val="58C33C5A"/>
    <w:rsid w:val="58CC3EAD"/>
    <w:rsid w:val="58F12E9E"/>
    <w:rsid w:val="59AC2042"/>
    <w:rsid w:val="59DF74B6"/>
    <w:rsid w:val="5A596CA5"/>
    <w:rsid w:val="5A71367A"/>
    <w:rsid w:val="5AB900FA"/>
    <w:rsid w:val="5AF74D9F"/>
    <w:rsid w:val="5B1B1D9F"/>
    <w:rsid w:val="5B312324"/>
    <w:rsid w:val="5B813524"/>
    <w:rsid w:val="5BA15B7C"/>
    <w:rsid w:val="5BAA265C"/>
    <w:rsid w:val="5BB1219F"/>
    <w:rsid w:val="5BF37E5F"/>
    <w:rsid w:val="5BFF4980"/>
    <w:rsid w:val="5C582767"/>
    <w:rsid w:val="5D242308"/>
    <w:rsid w:val="5D343E68"/>
    <w:rsid w:val="5D395EF9"/>
    <w:rsid w:val="5D460992"/>
    <w:rsid w:val="5DD4636B"/>
    <w:rsid w:val="5DDD6FFB"/>
    <w:rsid w:val="5DF3724B"/>
    <w:rsid w:val="5E79352B"/>
    <w:rsid w:val="5EA17CC3"/>
    <w:rsid w:val="5EAF3E6C"/>
    <w:rsid w:val="5F27742B"/>
    <w:rsid w:val="5F3B0C4C"/>
    <w:rsid w:val="5F744E64"/>
    <w:rsid w:val="5FA76558"/>
    <w:rsid w:val="600616BF"/>
    <w:rsid w:val="6018347B"/>
    <w:rsid w:val="60C73DE5"/>
    <w:rsid w:val="60DC5A16"/>
    <w:rsid w:val="60EA73D6"/>
    <w:rsid w:val="610572F8"/>
    <w:rsid w:val="6133198D"/>
    <w:rsid w:val="617E0AF8"/>
    <w:rsid w:val="619304B3"/>
    <w:rsid w:val="61B57C03"/>
    <w:rsid w:val="63006B79"/>
    <w:rsid w:val="63600E30"/>
    <w:rsid w:val="637C1DF3"/>
    <w:rsid w:val="63D342E8"/>
    <w:rsid w:val="640D5BAD"/>
    <w:rsid w:val="642C1302"/>
    <w:rsid w:val="648C5748"/>
    <w:rsid w:val="65AE41C1"/>
    <w:rsid w:val="65B95839"/>
    <w:rsid w:val="65CB7234"/>
    <w:rsid w:val="65DC23AC"/>
    <w:rsid w:val="664D50DC"/>
    <w:rsid w:val="66935810"/>
    <w:rsid w:val="669D3B0F"/>
    <w:rsid w:val="66AC566C"/>
    <w:rsid w:val="66EE3BC9"/>
    <w:rsid w:val="672E5BEB"/>
    <w:rsid w:val="677F50DB"/>
    <w:rsid w:val="678A07EE"/>
    <w:rsid w:val="67A4786A"/>
    <w:rsid w:val="67B67376"/>
    <w:rsid w:val="67D75D30"/>
    <w:rsid w:val="67FC30CE"/>
    <w:rsid w:val="688B5C95"/>
    <w:rsid w:val="68FA48D7"/>
    <w:rsid w:val="691335F2"/>
    <w:rsid w:val="693D2D72"/>
    <w:rsid w:val="694F4AE2"/>
    <w:rsid w:val="696401FF"/>
    <w:rsid w:val="699A749A"/>
    <w:rsid w:val="69AA7668"/>
    <w:rsid w:val="69C60062"/>
    <w:rsid w:val="69EB1F73"/>
    <w:rsid w:val="6A206802"/>
    <w:rsid w:val="6AD66FD5"/>
    <w:rsid w:val="6AE50C94"/>
    <w:rsid w:val="6AF7140F"/>
    <w:rsid w:val="6B7F494F"/>
    <w:rsid w:val="6B8D6287"/>
    <w:rsid w:val="6BC51A85"/>
    <w:rsid w:val="6BD1058C"/>
    <w:rsid w:val="6BD603FA"/>
    <w:rsid w:val="6BE57596"/>
    <w:rsid w:val="6C4F545A"/>
    <w:rsid w:val="6C664AF2"/>
    <w:rsid w:val="6CA02AE8"/>
    <w:rsid w:val="6CED3119"/>
    <w:rsid w:val="6D091E11"/>
    <w:rsid w:val="6D1B2322"/>
    <w:rsid w:val="6DA4008B"/>
    <w:rsid w:val="6DC42612"/>
    <w:rsid w:val="6DC823DA"/>
    <w:rsid w:val="6ECF4375"/>
    <w:rsid w:val="6F20013B"/>
    <w:rsid w:val="6FCC47C8"/>
    <w:rsid w:val="70F84783"/>
    <w:rsid w:val="71D37635"/>
    <w:rsid w:val="722A21C5"/>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290CF7"/>
    <w:rsid w:val="765E1D41"/>
    <w:rsid w:val="768F7938"/>
    <w:rsid w:val="76A13980"/>
    <w:rsid w:val="76C11531"/>
    <w:rsid w:val="76F0652C"/>
    <w:rsid w:val="76F7344E"/>
    <w:rsid w:val="770F58C0"/>
    <w:rsid w:val="77221663"/>
    <w:rsid w:val="77531EB4"/>
    <w:rsid w:val="777E2193"/>
    <w:rsid w:val="77E57235"/>
    <w:rsid w:val="78075142"/>
    <w:rsid w:val="782C529D"/>
    <w:rsid w:val="78962E19"/>
    <w:rsid w:val="78E8447A"/>
    <w:rsid w:val="78F35532"/>
    <w:rsid w:val="792B2D90"/>
    <w:rsid w:val="795839D1"/>
    <w:rsid w:val="79600CBC"/>
    <w:rsid w:val="798B5156"/>
    <w:rsid w:val="799176AF"/>
    <w:rsid w:val="7B221DB8"/>
    <w:rsid w:val="7B2A1EE8"/>
    <w:rsid w:val="7B467BD4"/>
    <w:rsid w:val="7BDE4262"/>
    <w:rsid w:val="7D027BEA"/>
    <w:rsid w:val="7D1D777F"/>
    <w:rsid w:val="7D2F4E8F"/>
    <w:rsid w:val="7D5B2135"/>
    <w:rsid w:val="7D7A3790"/>
    <w:rsid w:val="7D7E5EC1"/>
    <w:rsid w:val="7DA66CC3"/>
    <w:rsid w:val="7DB0236B"/>
    <w:rsid w:val="7DDF7215"/>
    <w:rsid w:val="7E2A7DC1"/>
    <w:rsid w:val="7EAE28A5"/>
    <w:rsid w:val="7EF5102E"/>
    <w:rsid w:val="7F031625"/>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1"/>
    <w:qFormat/>
    <w:uiPriority w:val="0"/>
    <w:pPr>
      <w:ind w:firstLine="420" w:firstLineChars="200"/>
    </w:pPr>
    <w:rPr>
      <w:szCs w:val="21"/>
    </w:rPr>
  </w:style>
  <w:style w:type="paragraph" w:styleId="3">
    <w:name w:val="Body Text"/>
    <w:basedOn w:val="1"/>
    <w:qFormat/>
    <w:uiPriority w:val="1"/>
    <w:rPr>
      <w:rFonts w:ascii="微软雅黑" w:hAnsi="微软雅黑" w:eastAsia="微软雅黑" w:cs="微软雅黑"/>
      <w:szCs w:val="21"/>
      <w:lang w:val="zh-CN" w:bidi="zh-CN"/>
    </w:rPr>
  </w:style>
  <w:style w:type="paragraph" w:styleId="4">
    <w:name w:val="Body Text Indent"/>
    <w:basedOn w:val="1"/>
    <w:qFormat/>
    <w:uiPriority w:val="0"/>
    <w:pPr>
      <w:spacing w:after="120"/>
      <w:ind w:left="420" w:leftChars="200"/>
    </w:pPr>
  </w:style>
  <w:style w:type="paragraph" w:styleId="5">
    <w:name w:val="Plain Text"/>
    <w:basedOn w:val="1"/>
    <w:unhideWhenUsed/>
    <w:qFormat/>
    <w:uiPriority w:val="0"/>
    <w:rPr>
      <w:rFonts w:ascii="宋体" w:hAnsi="Courier New"/>
      <w:szCs w:val="21"/>
    </w:rPr>
  </w:style>
  <w:style w:type="paragraph" w:styleId="6">
    <w:name w:val="Balloon Text"/>
    <w:basedOn w:val="1"/>
    <w:link w:val="17"/>
    <w:qFormat/>
    <w:uiPriority w:val="0"/>
    <w:rPr>
      <w:sz w:val="18"/>
      <w:szCs w:val="18"/>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spacing w:beforeAutospacing="1" w:afterAutospacing="1"/>
      <w:jc w:val="left"/>
    </w:pPr>
    <w:rPr>
      <w:rFonts w:cs="Times New Roman"/>
      <w:kern w:val="0"/>
      <w:sz w:val="24"/>
    </w:rPr>
  </w:style>
  <w:style w:type="paragraph" w:styleId="10">
    <w:name w:val="Body Text First Indent 2"/>
    <w:basedOn w:val="4"/>
    <w:qFormat/>
    <w:uiPriority w:val="0"/>
    <w:pPr>
      <w:ind w:firstLine="420" w:firstLineChars="200"/>
    </w:p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qFormat/>
    <w:uiPriority w:val="0"/>
    <w:rPr>
      <w:color w:val="0000FF"/>
      <w:sz w:val="21"/>
      <w:szCs w:val="20"/>
      <w:u w:val="single"/>
    </w:rPr>
  </w:style>
  <w:style w:type="paragraph" w:customStyle="1" w:styleId="15">
    <w:name w:val="Table Paragraph"/>
    <w:basedOn w:val="1"/>
    <w:qFormat/>
    <w:uiPriority w:val="1"/>
    <w:pPr>
      <w:ind w:left="108"/>
    </w:pPr>
    <w:rPr>
      <w:rFonts w:ascii="微软雅黑" w:hAnsi="微软雅黑" w:eastAsia="微软雅黑" w:cs="微软雅黑"/>
      <w:lang w:val="zh-CN" w:bidi="zh-CN"/>
    </w:rPr>
  </w:style>
  <w:style w:type="character" w:customStyle="1" w:styleId="16">
    <w:name w:val="NormalCharacter"/>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6"/>
    <w:qFormat/>
    <w:uiPriority w:val="0"/>
    <w:rPr>
      <w:rFonts w:ascii="Calibri" w:hAnsi="Calibri"/>
      <w:kern w:val="2"/>
      <w:sz w:val="18"/>
      <w:szCs w:val="18"/>
    </w:rPr>
  </w:style>
  <w:style w:type="character" w:customStyle="1" w:styleId="18">
    <w:name w:val="无"/>
    <w:basedOn w:val="13"/>
    <w:qFormat/>
    <w:uiPriority w:val="0"/>
  </w:style>
  <w:style w:type="paragraph" w:styleId="19">
    <w:name w:val="List Paragraph"/>
    <w:basedOn w:val="1"/>
    <w:qFormat/>
    <w:uiPriority w:val="99"/>
    <w:pPr>
      <w:ind w:firstLine="420" w:firstLineChars="200"/>
    </w:pPr>
    <w:rPr>
      <w:rFonts w:ascii="Calibri" w:hAnsi="Calibri" w:cs="Calibri"/>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18</Pages>
  <Words>5026</Words>
  <Characters>5097</Characters>
  <Lines>41</Lines>
  <Paragraphs>11</Paragraphs>
  <TotalTime>32</TotalTime>
  <ScaleCrop>false</ScaleCrop>
  <LinksUpToDate>false</LinksUpToDate>
  <CharactersWithSpaces>5313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张家界--盛世张家界（地接部）</cp:lastModifiedBy>
  <dcterms:modified xsi:type="dcterms:W3CDTF">2025-03-18T03:47:01Z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85D21472B09849F9A079647BDBB96E04_13</vt:lpwstr>
  </property>
  <property fmtid="{D5CDD505-2E9C-101B-9397-08002B2CF9AE}" pid="5" name="KSOTemplateDocerSaveRecord">
    <vt:lpwstr>eyJoZGlkIjoiYzIwNmNiYmRkMzljNDg1YzQxNzQzNjcwYmYxMmM4MzMiLCJ1c2VySWQiOiI0NTI0NDA2MTkifQ==</vt:lpwstr>
  </property>
</Properties>
</file>