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C30D44A">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宋体" w:hAnsi="宋体" w:cs="宋体"/>
          <w:kern w:val="0"/>
          <w:sz w:val="18"/>
          <w:szCs w:val="18"/>
          <w:lang w:eastAsia="zh-CN"/>
        </w:rPr>
        <w:drawing>
          <wp:anchor distT="0" distB="0" distL="114300" distR="114300" simplePos="0" relativeHeight="251672576" behindDoc="0" locked="0" layoutInCell="1" allowOverlap="1">
            <wp:simplePos x="0" y="0"/>
            <wp:positionH relativeFrom="column">
              <wp:posOffset>-215265</wp:posOffset>
            </wp:positionH>
            <wp:positionV relativeFrom="paragraph">
              <wp:posOffset>-380365</wp:posOffset>
            </wp:positionV>
            <wp:extent cx="7544435" cy="10675620"/>
            <wp:effectExtent l="0" t="0" r="14605" b="7620"/>
            <wp:wrapTopAndBottom/>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1"/>
                    <a:stretch>
                      <a:fillRect/>
                    </a:stretch>
                  </pic:blipFill>
                  <pic:spPr>
                    <a:xfrm>
                      <a:off x="0" y="0"/>
                      <a:ext cx="7544435" cy="10675620"/>
                    </a:xfrm>
                    <a:prstGeom prst="rect">
                      <a:avLst/>
                    </a:prstGeom>
                  </pic:spPr>
                </pic:pic>
              </a:graphicData>
            </a:graphic>
          </wp:anchor>
        </w:drawing>
      </w:r>
    </w:p>
    <w:p w14:paraId="199E059C">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5408" behindDoc="0" locked="0" layoutInCell="1" allowOverlap="1">
            <wp:simplePos x="0" y="0"/>
            <wp:positionH relativeFrom="column">
              <wp:posOffset>711200</wp:posOffset>
            </wp:positionH>
            <wp:positionV relativeFrom="paragraph">
              <wp:posOffset>38100</wp:posOffset>
            </wp:positionV>
            <wp:extent cx="7560310" cy="10692765"/>
            <wp:effectExtent l="0" t="0" r="13970" b="5715"/>
            <wp:wrapSquare wrapText="bothSides"/>
            <wp:docPr id="12" name="图片 1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湖南经典游"/>
                    <pic:cNvPicPr>
                      <a:picLocks noChangeAspect="1"/>
                    </pic:cNvPicPr>
                  </pic:nvPicPr>
                  <pic:blipFill>
                    <a:blip r:embed="rId12"/>
                    <a:stretch>
                      <a:fillRect/>
                    </a:stretch>
                  </pic:blipFill>
                  <pic:spPr>
                    <a:xfrm>
                      <a:off x="0" y="0"/>
                      <a:ext cx="7560310" cy="10692765"/>
                    </a:xfrm>
                    <a:prstGeom prst="rect">
                      <a:avLst/>
                    </a:prstGeom>
                  </pic:spPr>
                </pic:pic>
              </a:graphicData>
            </a:graphic>
          </wp:anchor>
        </w:drawing>
      </w:r>
    </w:p>
    <w:p w14:paraId="35EE05A1">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Narkisim"/>
          <w:b/>
          <w:bCs/>
          <w:color w:val="FF0000"/>
          <w:sz w:val="56"/>
          <w:szCs w:val="56"/>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38100</wp:posOffset>
            </wp:positionV>
            <wp:extent cx="7560310" cy="10692765"/>
            <wp:effectExtent l="0" t="0" r="13970" b="5715"/>
            <wp:wrapTight wrapText="bothSides">
              <wp:wrapPolygon>
                <wp:start x="0" y="0"/>
                <wp:lineTo x="0" y="21581"/>
                <wp:lineTo x="21553" y="21581"/>
                <wp:lineTo x="21553" y="0"/>
                <wp:lineTo x="0" y="0"/>
              </wp:wrapPolygon>
            </wp:wrapTight>
            <wp:docPr id="25" name="图片 25"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1"/>
                    <pic:cNvPicPr>
                      <a:picLocks noChangeAspect="1"/>
                    </pic:cNvPicPr>
                  </pic:nvPicPr>
                  <pic:blipFill>
                    <a:blip r:embed="rId13"/>
                    <a:stretch>
                      <a:fillRect/>
                    </a:stretch>
                  </pic:blipFill>
                  <pic:spPr>
                    <a:xfrm>
                      <a:off x="0" y="0"/>
                      <a:ext cx="7560310" cy="10692765"/>
                    </a:xfrm>
                    <a:prstGeom prst="rect">
                      <a:avLst/>
                    </a:prstGeom>
                  </pic:spPr>
                </pic:pic>
              </a:graphicData>
            </a:graphic>
          </wp:anchor>
        </w:drawing>
      </w:r>
    </w:p>
    <w:p w14:paraId="1D54F914">
      <w:pPr>
        <w:tabs>
          <w:tab w:val="left" w:pos="8583"/>
        </w:tabs>
        <w:jc w:val="left"/>
        <w:rPr>
          <w:rFonts w:hint="eastAsia" w:eastAsia="宋体"/>
          <w:sz w:val="18"/>
          <w:szCs w:val="18"/>
          <w:lang w:eastAsia="zh-CN"/>
        </w:rPr>
      </w:pPr>
      <w:r>
        <w:rPr>
          <w:rFonts w:hint="eastAsia"/>
          <w:lang w:val="en-US" w:eastAsia="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-610870</wp:posOffset>
            </wp:positionV>
            <wp:extent cx="7560310" cy="10692765"/>
            <wp:effectExtent l="0" t="0" r="13970" b="5715"/>
            <wp:wrapSquare wrapText="bothSides"/>
            <wp:docPr id="16" name="图片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
                    <pic:cNvPicPr>
                      <a:picLocks noChangeAspect="1"/>
                    </pic:cNvPicPr>
                  </pic:nvPicPr>
                  <pic:blipFill>
                    <a:blip r:embed="rId14"/>
                    <a:stretch>
                      <a:fillRect/>
                    </a:stretch>
                  </pic:blipFill>
                  <pic:spPr>
                    <a:xfrm>
                      <a:off x="0" y="0"/>
                      <a:ext cx="7560310" cy="10692765"/>
                    </a:xfrm>
                    <a:prstGeom prst="rect">
                      <a:avLst/>
                    </a:prstGeom>
                  </pic:spPr>
                </pic:pic>
              </a:graphicData>
            </a:graphic>
          </wp:anchor>
        </w:drawing>
      </w:r>
    </w:p>
    <w:p w14:paraId="7F617B27">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8480" behindDoc="0" locked="0" layoutInCell="1" allowOverlap="1">
            <wp:simplePos x="0" y="0"/>
            <wp:positionH relativeFrom="column">
              <wp:posOffset>29845</wp:posOffset>
            </wp:positionH>
            <wp:positionV relativeFrom="paragraph">
              <wp:posOffset>45720</wp:posOffset>
            </wp:positionV>
            <wp:extent cx="7560310" cy="10692765"/>
            <wp:effectExtent l="0" t="0" r="13970" b="5715"/>
            <wp:wrapSquare wrapText="bothSides"/>
            <wp:docPr id="14" name="图片 14" descr="湖南经典游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湖南经典游3333"/>
                    <pic:cNvPicPr>
                      <a:picLocks noChangeAspect="1"/>
                    </pic:cNvPicPr>
                  </pic:nvPicPr>
                  <pic:blipFill>
                    <a:blip r:embed="rId15"/>
                    <a:stretch>
                      <a:fillRect/>
                    </a:stretch>
                  </pic:blipFill>
                  <pic:spPr>
                    <a:xfrm>
                      <a:off x="0" y="0"/>
                      <a:ext cx="7560310" cy="10692765"/>
                    </a:xfrm>
                    <a:prstGeom prst="rect">
                      <a:avLst/>
                    </a:prstGeom>
                  </pic:spPr>
                </pic:pic>
              </a:graphicData>
            </a:graphic>
          </wp:anchor>
        </w:drawing>
      </w:r>
    </w:p>
    <w:p w14:paraId="37780C2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p w14:paraId="399831B9">
      <w:pPr>
        <w:pStyle w:val="5"/>
        <w:jc w:val="both"/>
        <w:rPr>
          <w:rFonts w:hint="eastAsia" w:ascii="宋体" w:hAnsi="宋体" w:cs="宋体"/>
          <w:kern w:val="0"/>
          <w:sz w:val="18"/>
          <w:szCs w:val="18"/>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3600"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2" name="图片 2" descr="湖南经典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湖南经典游"/>
                    <pic:cNvPicPr>
                      <a:picLocks noChangeAspect="1"/>
                    </pic:cNvPicPr>
                  </pic:nvPicPr>
                  <pic:blipFill>
                    <a:blip r:embed="rId16"/>
                    <a:stretch>
                      <a:fillRect/>
                    </a:stretch>
                  </pic:blipFill>
                  <pic:spPr>
                    <a:xfrm>
                      <a:off x="0" y="0"/>
                      <a:ext cx="7560310" cy="10692765"/>
                    </a:xfrm>
                    <a:prstGeom prst="rect">
                      <a:avLst/>
                    </a:prstGeom>
                  </pic:spPr>
                </pic:pic>
              </a:graphicData>
            </a:graphic>
          </wp:anchor>
        </w:drawing>
      </w:r>
      <w:r>
        <w:rPr>
          <w:rFonts w:hint="eastAsia" w:ascii="宋体" w:hAnsi="宋体" w:cs="宋体"/>
          <w:kern w:val="0"/>
          <w:sz w:val="18"/>
          <w:szCs w:val="18"/>
          <w:lang w:eastAsia="zh-CN"/>
        </w:rPr>
        <w:br w:type="page"/>
      </w:r>
    </w:p>
    <w:p w14:paraId="15205288">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69504" behindDoc="0" locked="0" layoutInCell="1" allowOverlap="1">
            <wp:simplePos x="0" y="0"/>
            <wp:positionH relativeFrom="column">
              <wp:posOffset>2992120</wp:posOffset>
            </wp:positionH>
            <wp:positionV relativeFrom="paragraph">
              <wp:posOffset>-525145</wp:posOffset>
            </wp:positionV>
            <wp:extent cx="7560310" cy="10692765"/>
            <wp:effectExtent l="0" t="0" r="13970" b="5715"/>
            <wp:wrapSquare wrapText="bothSides"/>
            <wp:docPr id="32" name="图片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
                    <pic:cNvPicPr>
                      <a:picLocks noChangeAspect="1"/>
                    </pic:cNvPicPr>
                  </pic:nvPicPr>
                  <pic:blipFill>
                    <a:blip r:embed="rId17"/>
                    <a:stretch>
                      <a:fillRect/>
                    </a:stretch>
                  </pic:blipFill>
                  <pic:spPr>
                    <a:xfrm>
                      <a:off x="0" y="0"/>
                      <a:ext cx="7560310" cy="10692765"/>
                    </a:xfrm>
                    <a:prstGeom prst="rect">
                      <a:avLst/>
                    </a:prstGeom>
                  </pic:spPr>
                </pic:pic>
              </a:graphicData>
            </a:graphic>
          </wp:anchor>
        </w:drawing>
      </w:r>
    </w:p>
    <w:p w14:paraId="0A44E5F0">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0528" behindDoc="0" locked="0" layoutInCell="1" allowOverlap="1">
            <wp:simplePos x="0" y="0"/>
            <wp:positionH relativeFrom="column">
              <wp:posOffset>-539750</wp:posOffset>
            </wp:positionH>
            <wp:positionV relativeFrom="paragraph">
              <wp:posOffset>-501650</wp:posOffset>
            </wp:positionV>
            <wp:extent cx="7560310" cy="10692765"/>
            <wp:effectExtent l="0" t="0" r="13970" b="5715"/>
            <wp:wrapSquare wrapText="bothSides"/>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18"/>
                    <a:stretch>
                      <a:fillRect/>
                    </a:stretch>
                  </pic:blipFill>
                  <pic:spPr>
                    <a:xfrm>
                      <a:off x="0" y="0"/>
                      <a:ext cx="7560310" cy="10692765"/>
                    </a:xfrm>
                    <a:prstGeom prst="rect">
                      <a:avLst/>
                    </a:prstGeom>
                  </pic:spPr>
                </pic:pic>
              </a:graphicData>
            </a:graphic>
          </wp:anchor>
        </w:drawing>
      </w:r>
    </w:p>
    <w:p w14:paraId="2D88E45B">
      <w:pPr>
        <w:pStyle w:val="5"/>
        <w:rPr>
          <w:rFonts w:hint="eastAsia"/>
          <w:lang w:eastAsia="zh-CN"/>
        </w:rPr>
      </w:pPr>
      <w:r>
        <w:rPr>
          <w:rFonts w:hint="eastAsia" w:ascii="微软雅黑" w:hAnsi="微软雅黑" w:eastAsia="微软雅黑" w:cs="微软雅黑"/>
          <w:b/>
          <w:color w:val="C0504D" w:themeColor="accent2"/>
          <w:sz w:val="72"/>
          <w:szCs w:val="72"/>
          <w:lang w:val="en-US" w:eastAsia="zh-CN"/>
          <w14:textFill>
            <w14:solidFill>
              <w14:schemeClr w14:val="accent2"/>
            </w14:solidFill>
          </w14:textFill>
        </w:rPr>
        <w:drawing>
          <wp:anchor distT="0" distB="0" distL="114300" distR="114300" simplePos="0" relativeHeight="251671552" behindDoc="0" locked="0" layoutInCell="1" allowOverlap="1">
            <wp:simplePos x="0" y="0"/>
            <wp:positionH relativeFrom="column">
              <wp:posOffset>29845</wp:posOffset>
            </wp:positionH>
            <wp:positionV relativeFrom="paragraph">
              <wp:posOffset>45720</wp:posOffset>
            </wp:positionV>
            <wp:extent cx="7560310" cy="10692765"/>
            <wp:effectExtent l="0" t="0" r="2540" b="13335"/>
            <wp:wrapSquare wrapText="bothSides"/>
            <wp:docPr id="37" name="图片 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
                    <pic:cNvPicPr>
                      <a:picLocks noChangeAspect="1"/>
                    </pic:cNvPicPr>
                  </pic:nvPicPr>
                  <pic:blipFill>
                    <a:blip r:embed="rId19"/>
                    <a:stretch>
                      <a:fillRect/>
                    </a:stretch>
                  </pic:blipFill>
                  <pic:spPr>
                    <a:xfrm>
                      <a:off x="0" y="0"/>
                      <a:ext cx="7560310" cy="10692765"/>
                    </a:xfrm>
                    <a:prstGeom prst="rect">
                      <a:avLst/>
                    </a:prstGeom>
                  </pic:spPr>
                </pic:pic>
              </a:graphicData>
            </a:graphic>
          </wp:anchor>
        </w:drawing>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A052B6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005" w:hRule="atLeast"/>
        </w:trPr>
        <w:tc>
          <w:tcPr>
            <w:tcW w:w="11628" w:type="dxa"/>
            <w:gridSpan w:val="6"/>
            <w:tcBorders>
              <w:bottom w:val="single" w:color="auto" w:sz="4" w:space="0"/>
            </w:tcBorders>
          </w:tcPr>
          <w:p w14:paraId="556C70B5">
            <w:pPr>
              <w:ind w:firstLine="4162" w:firstLineChars="8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双桥和鸣</w:t>
            </w:r>
            <w:r>
              <w:rPr>
                <w:rFonts w:hint="eastAsia" w:ascii="微软雅黑" w:hAnsi="微软雅黑" w:eastAsia="微软雅黑" w:cs="微软雅黑"/>
                <w:b/>
                <w:bCs/>
                <w:color w:val="00B050"/>
                <w:sz w:val="52"/>
                <w:szCs w:val="52"/>
              </w:rPr>
              <w:t>】</w:t>
            </w:r>
          </w:p>
        </w:tc>
      </w:tr>
      <w:tr w14:paraId="2184F3D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4B2AED78">
            <w:pPr>
              <w:snapToGrid w:val="0"/>
              <w:jc w:val="center"/>
              <w:rPr>
                <w:rFonts w:ascii="微软雅黑" w:hAnsi="微软雅黑" w:eastAsia="微软雅黑" w:cs="微软雅黑"/>
                <w:color w:val="00B050"/>
                <w:sz w:val="30"/>
                <w:szCs w:val="30"/>
              </w:rPr>
            </w:pPr>
            <w:r>
              <w:rPr>
                <w:rFonts w:hint="eastAsia" w:ascii="微软雅黑" w:hAnsi="微软雅黑" w:eastAsia="微软雅黑" w:cs="微软雅黑"/>
                <w:color w:val="00B050"/>
                <w:sz w:val="30"/>
                <w:szCs w:val="30"/>
              </w:rPr>
              <w:t>长沙/韶山.毛泽东故居/</w:t>
            </w:r>
            <w:r>
              <w:rPr>
                <w:rFonts w:hint="eastAsia" w:ascii="微软雅黑" w:hAnsi="微软雅黑" w:eastAsia="微软雅黑" w:cs="微软雅黑"/>
                <w:color w:val="00B050"/>
                <w:sz w:val="30"/>
                <w:szCs w:val="30"/>
                <w:lang w:val="en-US" w:eastAsia="zh-CN"/>
              </w:rPr>
              <w:t>张家界千古情</w:t>
            </w:r>
            <w:r>
              <w:rPr>
                <w:rFonts w:hint="eastAsia" w:ascii="微软雅黑" w:hAnsi="微软雅黑" w:eastAsia="微软雅黑" w:cs="微软雅黑"/>
                <w:color w:val="00B050"/>
                <w:sz w:val="30"/>
                <w:szCs w:val="30"/>
              </w:rPr>
              <w:t>/黄龙洞（VIP</w:t>
            </w:r>
            <w:r>
              <w:rPr>
                <w:rFonts w:hint="eastAsia" w:ascii="微软雅黑" w:hAnsi="微软雅黑" w:eastAsia="微软雅黑" w:cs="微软雅黑"/>
                <w:color w:val="00B050"/>
                <w:sz w:val="30"/>
                <w:szCs w:val="30"/>
                <w:lang w:val="en-US" w:eastAsia="zh-CN"/>
              </w:rPr>
              <w:t>通道</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val="en-US" w:eastAsia="zh-CN"/>
              </w:rPr>
              <w:t>张家界国家</w:t>
            </w:r>
            <w:r>
              <w:rPr>
                <w:rFonts w:hint="eastAsia" w:ascii="微软雅黑" w:hAnsi="微软雅黑" w:eastAsia="微软雅黑" w:cs="微软雅黑"/>
                <w:color w:val="00B050"/>
                <w:sz w:val="30"/>
                <w:szCs w:val="30"/>
              </w:rPr>
              <w:t>森林公园(深度游) /</w:t>
            </w:r>
            <w:r>
              <w:rPr>
                <w:rFonts w:hint="eastAsia" w:ascii="微软雅黑" w:hAnsi="微软雅黑" w:eastAsia="微软雅黑" w:cs="微软雅黑"/>
                <w:color w:val="00B050"/>
                <w:sz w:val="30"/>
                <w:szCs w:val="30"/>
                <w:lang w:eastAsia="zh-CN"/>
              </w:rPr>
              <w:t>天子山</w:t>
            </w:r>
            <w:r>
              <w:rPr>
                <w:rFonts w:hint="eastAsia" w:ascii="微软雅黑" w:hAnsi="微软雅黑" w:eastAsia="微软雅黑" w:cs="微软雅黑"/>
                <w:color w:val="00B050"/>
                <w:sz w:val="30"/>
                <w:szCs w:val="30"/>
              </w:rPr>
              <w:t>/</w:t>
            </w:r>
            <w:r>
              <w:rPr>
                <w:rFonts w:hint="eastAsia" w:ascii="微软雅黑" w:hAnsi="微软雅黑" w:eastAsia="微软雅黑" w:cs="微软雅黑"/>
                <w:color w:val="00B050"/>
                <w:sz w:val="30"/>
                <w:szCs w:val="30"/>
                <w:lang w:eastAsia="zh-CN"/>
              </w:rPr>
              <w:t>袁家界</w:t>
            </w:r>
            <w:r>
              <w:rPr>
                <w:rFonts w:hint="eastAsia" w:ascii="微软雅黑" w:hAnsi="微软雅黑" w:eastAsia="微软雅黑" w:cs="微软雅黑"/>
                <w:color w:val="00B050"/>
                <w:sz w:val="30"/>
                <w:szCs w:val="30"/>
              </w:rPr>
              <w:t>/云天渡玻璃桥</w:t>
            </w:r>
            <w:r>
              <w:rPr>
                <w:rFonts w:hint="eastAsia" w:ascii="微软雅黑" w:hAnsi="微软雅黑" w:eastAsia="微软雅黑" w:cs="微软雅黑"/>
                <w:color w:val="00B050"/>
                <w:sz w:val="30"/>
                <w:szCs w:val="30"/>
                <w:lang w:val="en-US" w:eastAsia="zh-CN"/>
              </w:rPr>
              <w:t xml:space="preserve"> </w:t>
            </w:r>
            <w:r>
              <w:rPr>
                <w:rFonts w:hint="eastAsia" w:ascii="微软雅黑" w:hAnsi="微软雅黑" w:eastAsia="微软雅黑" w:cs="微软雅黑"/>
                <w:color w:val="00B050"/>
                <w:sz w:val="30"/>
                <w:szCs w:val="30"/>
              </w:rPr>
              <w:t>/天门山（玻璃栈道）</w:t>
            </w:r>
            <w:r>
              <w:rPr>
                <w:rFonts w:hint="eastAsia" w:ascii="微软雅黑" w:hAnsi="微软雅黑" w:eastAsia="微软雅黑" w:cs="微软雅黑"/>
                <w:color w:val="00B050"/>
                <w:sz w:val="30"/>
                <w:szCs w:val="30"/>
                <w:lang w:val="en-US" w:eastAsia="zh-CN"/>
              </w:rPr>
              <w:t>/土司王府</w:t>
            </w:r>
          </w:p>
          <w:p w14:paraId="62F6EF47">
            <w:pPr>
              <w:pStyle w:val="2"/>
              <w:ind w:left="0" w:leftChars="0" w:firstLine="0" w:firstLineChars="0"/>
              <w:jc w:val="center"/>
              <w:rPr>
                <w:b/>
                <w:color w:val="FF0000"/>
                <w:sz w:val="28"/>
                <w:szCs w:val="28"/>
              </w:rPr>
            </w:pPr>
            <w:r>
              <w:rPr>
                <w:rFonts w:hint="eastAsia" w:ascii="微软雅黑" w:hAnsi="微软雅黑" w:eastAsia="微软雅黑" w:cs="微软雅黑"/>
                <w:color w:val="00B050"/>
                <w:sz w:val="30"/>
                <w:szCs w:val="30"/>
              </w:rPr>
              <w:t>凤凰古城夜景</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七重水幕灯光秀</w:t>
            </w:r>
            <w:r>
              <w:rPr>
                <w:rFonts w:hint="eastAsia" w:ascii="微软雅黑" w:hAnsi="微软雅黑" w:eastAsia="微软雅黑" w:cs="微软雅黑"/>
                <w:color w:val="00B050"/>
                <w:sz w:val="30"/>
                <w:szCs w:val="30"/>
                <w:lang w:eastAsia="zh-CN"/>
              </w:rPr>
              <w:t>）</w:t>
            </w:r>
            <w:r>
              <w:rPr>
                <w:rFonts w:hint="eastAsia" w:ascii="微软雅黑" w:hAnsi="微软雅黑" w:eastAsia="微软雅黑" w:cs="微软雅黑"/>
                <w:color w:val="00B050"/>
                <w:sz w:val="30"/>
                <w:szCs w:val="30"/>
              </w:rPr>
              <w:t>/沈从文故居</w:t>
            </w:r>
            <w:r>
              <w:rPr>
                <w:rFonts w:hint="eastAsia" w:ascii="微软雅黑" w:hAnsi="微软雅黑" w:eastAsia="微软雅黑" w:cs="微软雅黑"/>
                <w:color w:val="00B050"/>
                <w:sz w:val="30"/>
                <w:szCs w:val="30"/>
                <w:lang w:val="en-US" w:eastAsia="zh-CN"/>
              </w:rPr>
              <w:t>高端</w:t>
            </w:r>
            <w:r>
              <w:rPr>
                <w:rFonts w:hint="eastAsia" w:ascii="微软雅黑" w:hAnsi="微软雅黑" w:eastAsia="微软雅黑" w:cs="微软雅黑"/>
                <w:color w:val="00B050"/>
                <w:sz w:val="30"/>
                <w:szCs w:val="30"/>
              </w:rPr>
              <w:t>六日游</w:t>
            </w:r>
          </w:p>
        </w:tc>
      </w:tr>
      <w:tr w14:paraId="5C93F5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60B2CED8">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708025"/>
                  <wp:effectExtent l="0" t="0" r="14605" b="8255"/>
                  <wp:docPr id="6"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体验"/>
                          <pic:cNvPicPr>
                            <a:picLocks noChangeAspect="1"/>
                          </pic:cNvPicPr>
                        </pic:nvPicPr>
                        <pic:blipFill>
                          <a:blip r:embed="rId20" cstate="print"/>
                          <a:stretch>
                            <a:fillRect/>
                          </a:stretch>
                        </pic:blipFill>
                        <pic:spPr>
                          <a:xfrm>
                            <a:off x="0" y="0"/>
                            <a:ext cx="7300595" cy="708025"/>
                          </a:xfrm>
                          <a:prstGeom prst="rect">
                            <a:avLst/>
                          </a:prstGeom>
                          <a:noFill/>
                          <a:ln>
                            <a:noFill/>
                          </a:ln>
                        </pic:spPr>
                      </pic:pic>
                    </a:graphicData>
                  </a:graphic>
                </wp:inline>
              </w:drawing>
            </w:r>
          </w:p>
          <w:p w14:paraId="200286D7">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350331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4"/>
                <w:szCs w:val="24"/>
                <w:lang w:val="en-US" w:eastAsia="zh-CN"/>
              </w:rPr>
              <w:t>八</w:t>
            </w:r>
            <w:r>
              <w:rPr>
                <w:rFonts w:hint="eastAsia" w:ascii="微软雅黑" w:hAnsi="微软雅黑" w:eastAsia="微软雅黑" w:cs="微软雅黑"/>
                <w:kern w:val="0"/>
                <w:sz w:val="21"/>
                <w:szCs w:val="21"/>
              </w:rPr>
              <w:t>无产品</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无超市</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无苗寨</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无自费</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无景交</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无车购</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无人数</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无年龄</w:t>
            </w:r>
            <w:r>
              <w:rPr>
                <w:rFonts w:hint="eastAsia" w:ascii="微软雅黑" w:hAnsi="微软雅黑" w:eastAsia="微软雅黑" w:cs="微软雅黑"/>
                <w:kern w:val="0"/>
                <w:sz w:val="21"/>
                <w:szCs w:val="21"/>
                <w:lang w:eastAsia="zh-CN"/>
              </w:rPr>
              <w:t>、</w:t>
            </w:r>
            <w:r>
              <w:rPr>
                <w:rFonts w:hint="eastAsia" w:ascii="微软雅黑" w:hAnsi="微软雅黑" w:eastAsia="微软雅黑" w:cs="微软雅黑"/>
                <w:kern w:val="0"/>
                <w:sz w:val="21"/>
                <w:szCs w:val="21"/>
              </w:rPr>
              <w:t>无同组</w:t>
            </w:r>
            <w:r>
              <w:rPr>
                <w:rFonts w:hint="eastAsia" w:ascii="微软雅黑" w:hAnsi="微软雅黑" w:eastAsia="微软雅黑" w:cs="微软雅黑"/>
                <w:kern w:val="0"/>
                <w:sz w:val="21"/>
                <w:szCs w:val="21"/>
                <w:lang w:eastAsia="zh-CN"/>
              </w:rPr>
              <w:t>。</w:t>
            </w:r>
          </w:p>
          <w:p w14:paraId="73B889A8">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lang w:eastAsia="zh-CN"/>
              </w:rPr>
              <w:t>纯净旅行：全程一个导游极致服务，不分AB 段，不切团最合理的环线，游览不走回头路。</w:t>
            </w:r>
          </w:p>
          <w:p w14:paraId="383DB5F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kern w:val="0"/>
                <w:sz w:val="21"/>
                <w:szCs w:val="21"/>
              </w:rPr>
              <w:t>高端用车：2年内全新VIP豪华旅游大巴，</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b/>
                <w:bCs/>
                <w:kern w:val="0"/>
                <w:sz w:val="21"/>
                <w:szCs w:val="21"/>
              </w:rPr>
              <w:t>飞机头等舱特制座椅</w:t>
            </w:r>
            <w:r>
              <w:rPr>
                <w:rFonts w:hint="eastAsia" w:ascii="微软雅黑" w:hAnsi="微软雅黑" w:eastAsia="微软雅黑" w:cs="微软雅黑"/>
                <w:b/>
                <w:bCs/>
                <w:kern w:val="0"/>
                <w:sz w:val="21"/>
                <w:szCs w:val="21"/>
                <w:lang w:eastAsia="zh-CN"/>
              </w:rPr>
              <w:t>】</w:t>
            </w:r>
            <w:r>
              <w:rPr>
                <w:rFonts w:hint="eastAsia" w:ascii="微软雅黑" w:hAnsi="微软雅黑" w:eastAsia="微软雅黑" w:cs="微软雅黑"/>
                <w:kern w:val="0"/>
                <w:sz w:val="21"/>
                <w:szCs w:val="21"/>
              </w:rPr>
              <w:t>不卖车购。特别提示：如张家界2+1VlP旅行车资源紧张不够用，则更改为常规旅行车（保证25%空坐率）请理解</w:t>
            </w:r>
            <w:r>
              <w:rPr>
                <w:rFonts w:hint="eastAsia" w:ascii="微软雅黑" w:hAnsi="微软雅黑" w:eastAsia="微软雅黑" w:cs="微软雅黑"/>
                <w:kern w:val="0"/>
                <w:sz w:val="21"/>
                <w:szCs w:val="21"/>
                <w:lang w:eastAsia="zh-CN"/>
              </w:rPr>
              <w:t>。</w:t>
            </w:r>
          </w:p>
          <w:p w14:paraId="3E2D7A5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0"/>
                <w:sz w:val="21"/>
                <w:szCs w:val="21"/>
                <w:lang w:val="en-US" w:eastAsia="zh-CN"/>
              </w:rPr>
            </w:pPr>
            <w:r>
              <w:rPr>
                <w:rFonts w:hint="eastAsia" w:ascii="微软雅黑" w:hAnsi="微软雅黑" w:eastAsia="微软雅黑" w:cs="微软雅黑"/>
                <w:kern w:val="0"/>
                <w:sz w:val="21"/>
                <w:szCs w:val="21"/>
                <w:lang w:val="en-US" w:eastAsia="zh-CN"/>
              </w:rPr>
              <w:t>豪华住宿</w:t>
            </w:r>
            <w:r>
              <w:rPr>
                <w:rFonts w:hint="eastAsia" w:ascii="微软雅黑" w:hAnsi="微软雅黑" w:eastAsia="微软雅黑" w:cs="微软雅黑"/>
                <w:kern w:val="0"/>
                <w:sz w:val="21"/>
                <w:szCs w:val="21"/>
              </w:rPr>
              <w:t>：全程</w:t>
            </w:r>
            <w:r>
              <w:rPr>
                <w:rFonts w:hint="eastAsia" w:ascii="微软雅黑" w:hAnsi="微软雅黑" w:eastAsia="微软雅黑" w:cs="微软雅黑"/>
                <w:kern w:val="0"/>
                <w:sz w:val="21"/>
                <w:szCs w:val="21"/>
                <w:lang w:eastAsia="zh-CN"/>
              </w:rPr>
              <w:t>准四标准</w:t>
            </w:r>
            <w:r>
              <w:rPr>
                <w:rFonts w:hint="eastAsia" w:ascii="微软雅黑" w:hAnsi="微软雅黑" w:eastAsia="微软雅黑" w:cs="微软雅黑"/>
                <w:kern w:val="0"/>
                <w:sz w:val="21"/>
                <w:szCs w:val="21"/>
                <w:lang w:val="en-US" w:eastAsia="zh-CN"/>
              </w:rPr>
              <w:t>酒店+特色客栈。</w:t>
            </w:r>
          </w:p>
          <w:p w14:paraId="1BEF3527">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C0504D" w:themeColor="accent2"/>
                <w:kern w:val="24"/>
                <w:sz w:val="21"/>
                <w:szCs w:val="21"/>
                <w:highlight w:val="none"/>
                <w14:textFill>
                  <w14:solidFill>
                    <w14:schemeClr w14:val="accent2"/>
                  </w14:solidFill>
                </w14:textFill>
              </w:rPr>
            </w:pPr>
            <w:r>
              <w:rPr>
                <w:rFonts w:hint="eastAsia" w:ascii="微软雅黑" w:hAnsi="微软雅黑" w:eastAsia="微软雅黑" w:cs="微软雅黑"/>
                <w:b/>
                <w:bCs/>
                <w:color w:val="C0504D" w:themeColor="accent2"/>
                <w:sz w:val="21"/>
                <w:szCs w:val="21"/>
                <w14:textFill>
                  <w14:solidFill>
                    <w14:schemeClr w14:val="accent2"/>
                  </w14:solidFill>
                </w14:textFill>
              </w:rPr>
              <w:t>【</w:t>
            </w:r>
            <w:r>
              <w:rPr>
                <w:rFonts w:hint="eastAsia" w:ascii="微软雅黑" w:hAnsi="微软雅黑" w:eastAsia="微软雅黑" w:cs="微软雅黑"/>
                <w:b/>
                <w:bCs/>
                <w:color w:val="C0504D" w:themeColor="accent2"/>
                <w:sz w:val="21"/>
                <w:szCs w:val="21"/>
                <w:lang w:val="en-US" w:eastAsia="zh-CN"/>
                <w14:textFill>
                  <w14:solidFill>
                    <w14:schemeClr w14:val="accent2"/>
                  </w14:solidFill>
                </w14:textFill>
              </w:rPr>
              <w:t>独家</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r>
              <w:rPr>
                <w:rFonts w:hint="eastAsia" w:ascii="微软雅黑" w:hAnsi="微软雅黑" w:eastAsia="微软雅黑" w:cs="微软雅黑"/>
                <w:b/>
                <w:bCs/>
                <w:color w:val="C0504D" w:themeColor="accent2"/>
                <w:sz w:val="21"/>
                <w:szCs w:val="21"/>
                <w:highlight w:val="none"/>
                <w:lang w:val="en-US" w:eastAsia="zh-CN"/>
                <w14:textFill>
                  <w14:solidFill>
                    <w14:schemeClr w14:val="accent2"/>
                  </w14:solidFill>
                </w14:textFill>
              </w:rPr>
              <w:t>赠送</w:t>
            </w:r>
            <w:r>
              <w:rPr>
                <w:rFonts w:hint="eastAsia" w:ascii="微软雅黑" w:hAnsi="微软雅黑" w:eastAsia="微软雅黑" w:cs="微软雅黑"/>
                <w:b/>
                <w:bCs/>
                <w:color w:val="C0504D" w:themeColor="accent2"/>
                <w:sz w:val="21"/>
                <w:szCs w:val="21"/>
                <w:highlight w:val="none"/>
                <w14:textFill>
                  <w14:solidFill>
                    <w14:schemeClr w14:val="accent2"/>
                  </w14:solidFill>
                </w14:textFill>
              </w:rPr>
              <w:t>】</w:t>
            </w:r>
          </w:p>
          <w:p w14:paraId="5502ED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val="en-US" w:eastAsia="zh-CN"/>
              </w:rPr>
            </w:pPr>
            <w:r>
              <w:rPr>
                <w:rFonts w:hint="eastAsia" w:ascii="微软雅黑" w:hAnsi="微软雅黑" w:eastAsia="微软雅黑" w:cs="微软雅黑"/>
                <w:sz w:val="21"/>
                <w:szCs w:val="21"/>
                <w:highlight w:val="none"/>
              </w:rPr>
              <w:t>赠送价值 20 元/人【韶山环保车】</w:t>
            </w:r>
            <w:r>
              <w:rPr>
                <w:rFonts w:hint="eastAsia" w:ascii="微软雅黑" w:hAnsi="微软雅黑" w:eastAsia="微软雅黑" w:cs="微软雅黑"/>
                <w:sz w:val="21"/>
                <w:szCs w:val="21"/>
                <w:highlight w:val="none"/>
                <w:lang w:val="en-US" w:eastAsia="zh-CN"/>
              </w:rPr>
              <w:t>【VIP绿色通道】</w:t>
            </w:r>
          </w:p>
          <w:p w14:paraId="1F7B5DE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rPr>
            </w:pPr>
            <w:r>
              <w:rPr>
                <w:rFonts w:hint="eastAsia" w:ascii="微软雅黑" w:hAnsi="微软雅黑" w:eastAsia="微软雅黑" w:cs="微软雅黑"/>
                <w:sz w:val="21"/>
                <w:szCs w:val="21"/>
                <w:highlight w:val="none"/>
              </w:rPr>
              <w:t>赠送价值 95 元/人【黄龙</w:t>
            </w:r>
            <w:r>
              <w:rPr>
                <w:rFonts w:hint="eastAsia" w:ascii="微软雅黑" w:hAnsi="微软雅黑" w:eastAsia="微软雅黑" w:cs="微软雅黑"/>
                <w:sz w:val="21"/>
                <w:szCs w:val="21"/>
                <w:highlight w:val="none"/>
                <w:lang w:val="en-US" w:eastAsia="zh-CN"/>
              </w:rPr>
              <w:t>洞</w:t>
            </w:r>
            <w:r>
              <w:rPr>
                <w:rFonts w:hint="eastAsia" w:ascii="微软雅黑" w:hAnsi="微软雅黑" w:eastAsia="微软雅黑" w:cs="微软雅黑"/>
                <w:sz w:val="21"/>
                <w:szCs w:val="21"/>
                <w:highlight w:val="none"/>
              </w:rPr>
              <w:t>VIP】</w:t>
            </w:r>
          </w:p>
          <w:p w14:paraId="701F4B0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highlight w:val="none"/>
                <w:lang w:eastAsia="zh-CN"/>
              </w:rPr>
            </w:pPr>
            <w:r>
              <w:rPr>
                <w:rFonts w:hint="eastAsia" w:ascii="微软雅黑" w:hAnsi="微软雅黑" w:eastAsia="微软雅黑" w:cs="微软雅黑"/>
                <w:sz w:val="21"/>
                <w:szCs w:val="21"/>
                <w:highlight w:val="none"/>
              </w:rPr>
              <w:t>赠送价值 159 元/人【凤凰古城船游沱江】</w:t>
            </w:r>
            <w:r>
              <w:rPr>
                <w:rFonts w:hint="eastAsia" w:ascii="微软雅黑" w:hAnsi="微软雅黑" w:eastAsia="微软雅黑" w:cs="微软雅黑"/>
                <w:sz w:val="21"/>
                <w:szCs w:val="21"/>
                <w:highlight w:val="none"/>
                <w:lang w:eastAsia="zh-CN"/>
              </w:rPr>
              <w:t>【接驳车VIP免排队】</w:t>
            </w:r>
          </w:p>
          <w:p w14:paraId="7CCBA51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72</w:t>
            </w:r>
            <w:r>
              <w:rPr>
                <w:rFonts w:hint="eastAsia" w:ascii="微软雅黑" w:hAnsi="微软雅黑" w:eastAsia="微软雅黑" w:cs="微软雅黑"/>
                <w:sz w:val="21"/>
                <w:szCs w:val="21"/>
              </w:rPr>
              <w:t xml:space="preserve"> 元/人【</w:t>
            </w:r>
            <w:r>
              <w:rPr>
                <w:rFonts w:hint="eastAsia" w:ascii="微软雅黑" w:hAnsi="微软雅黑" w:eastAsia="微软雅黑" w:cs="微软雅黑"/>
                <w:sz w:val="21"/>
                <w:szCs w:val="21"/>
                <w:lang w:eastAsia="zh-CN"/>
              </w:rPr>
              <w:t>天子山索道</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51ACC83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赠送价值 </w:t>
            </w:r>
            <w:r>
              <w:rPr>
                <w:rFonts w:hint="eastAsia" w:ascii="微软雅黑" w:hAnsi="微软雅黑" w:eastAsia="微软雅黑" w:cs="微软雅黑"/>
                <w:sz w:val="21"/>
                <w:szCs w:val="21"/>
                <w:lang w:val="en-US" w:eastAsia="zh-CN"/>
              </w:rPr>
              <w:t>65</w:t>
            </w:r>
            <w:r>
              <w:rPr>
                <w:rFonts w:hint="eastAsia" w:ascii="微软雅黑" w:hAnsi="微软雅黑" w:eastAsia="微软雅黑" w:cs="微软雅黑"/>
                <w:sz w:val="21"/>
                <w:szCs w:val="21"/>
              </w:rPr>
              <w:t xml:space="preserve"> 元/人【百龙天梯</w:t>
            </w:r>
            <w:r>
              <w:rPr>
                <w:rFonts w:hint="eastAsia" w:ascii="微软雅黑" w:hAnsi="微软雅黑" w:eastAsia="微软雅黑" w:cs="微软雅黑"/>
                <w:sz w:val="21"/>
                <w:szCs w:val="21"/>
                <w:lang w:val="en-US" w:eastAsia="zh-CN"/>
              </w:rPr>
              <w:t>VIP</w:t>
            </w:r>
            <w:r>
              <w:rPr>
                <w:rFonts w:hint="eastAsia" w:ascii="微软雅黑" w:hAnsi="微软雅黑" w:eastAsia="微软雅黑" w:cs="微软雅黑"/>
                <w:sz w:val="21"/>
                <w:szCs w:val="21"/>
                <w:lang w:eastAsia="zh-CN"/>
              </w:rPr>
              <w:t>单程</w:t>
            </w:r>
            <w:r>
              <w:rPr>
                <w:rFonts w:hint="eastAsia" w:ascii="微软雅黑" w:hAnsi="微软雅黑" w:eastAsia="微软雅黑" w:cs="微软雅黑"/>
                <w:sz w:val="21"/>
                <w:szCs w:val="21"/>
              </w:rPr>
              <w:t>】</w:t>
            </w:r>
          </w:p>
          <w:p w14:paraId="4B26402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 64 元/人【天门山玻璃栈道鞋套+天门山扶梯】</w:t>
            </w:r>
          </w:p>
          <w:p w14:paraId="08B845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10 </w:t>
            </w:r>
            <w:r>
              <w:rPr>
                <w:rFonts w:hint="eastAsia" w:ascii="微软雅黑" w:hAnsi="微软雅黑" w:eastAsia="微软雅黑" w:cs="微软雅黑"/>
                <w:sz w:val="21"/>
                <w:szCs w:val="21"/>
              </w:rPr>
              <w:t>元/人【云天渡玻璃 桥桥鞋套】</w:t>
            </w:r>
          </w:p>
          <w:p w14:paraId="6036C05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赠送价值</w:t>
            </w:r>
            <w:r>
              <w:rPr>
                <w:rFonts w:hint="eastAsia" w:ascii="微软雅黑" w:hAnsi="微软雅黑" w:eastAsia="微软雅黑" w:cs="微软雅黑"/>
                <w:sz w:val="21"/>
                <w:szCs w:val="21"/>
                <w:lang w:val="en-US" w:eastAsia="zh-CN"/>
              </w:rPr>
              <w:t xml:space="preserve"> 158 </w:t>
            </w:r>
            <w:r>
              <w:rPr>
                <w:rFonts w:hint="eastAsia" w:ascii="微软雅黑" w:hAnsi="微软雅黑" w:eastAsia="微软雅黑" w:cs="微软雅黑"/>
                <w:sz w:val="21"/>
                <w:szCs w:val="21"/>
              </w:rPr>
              <w:t>元/人【千古情</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座位】一场国家级非物质</w:t>
            </w:r>
            <w:r>
              <w:rPr>
                <w:rFonts w:hint="eastAsia" w:ascii="微软雅黑" w:hAnsi="微软雅黑" w:eastAsia="微软雅黑" w:cs="微软雅黑"/>
                <w:sz w:val="21"/>
                <w:szCs w:val="21"/>
                <w:lang w:val="en-US" w:eastAsia="zh-CN"/>
              </w:rPr>
              <w:t>文化遗产</w:t>
            </w:r>
            <w:r>
              <w:rPr>
                <w:rFonts w:hint="eastAsia" w:ascii="微软雅黑" w:hAnsi="微软雅黑" w:eastAsia="微软雅黑" w:cs="微软雅黑"/>
                <w:sz w:val="21"/>
                <w:szCs w:val="21"/>
              </w:rPr>
              <w:t>演绎</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一生必看的演出</w:t>
            </w:r>
          </w:p>
          <w:p w14:paraId="5B59821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赠送观看</w:t>
            </w:r>
            <w:r>
              <w:rPr>
                <w:rFonts w:hint="eastAsia" w:ascii="微软雅黑" w:hAnsi="微软雅黑" w:eastAsia="微软雅黑" w:cs="微软雅黑"/>
                <w:sz w:val="21"/>
                <w:szCs w:val="21"/>
                <w:lang w:val="en-US" w:eastAsia="zh-CN"/>
              </w:rPr>
              <w:t>3D</w:t>
            </w:r>
            <w:r>
              <w:rPr>
                <w:rFonts w:hint="eastAsia" w:ascii="微软雅黑" w:hAnsi="微软雅黑" w:eastAsia="微软雅黑" w:cs="微软雅黑"/>
                <w:sz w:val="21"/>
                <w:szCs w:val="21"/>
              </w:rPr>
              <w:t>【七重水幕灯光秀】掀开湘西尘封的历史</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只为您不枉此行</w:t>
            </w:r>
          </w:p>
          <w:p w14:paraId="0B8FC44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sz w:val="21"/>
                <w:szCs w:val="21"/>
                <w:lang w:val="en-US" w:eastAsia="zh-CN"/>
              </w:rPr>
            </w:pPr>
            <w:r>
              <w:rPr>
                <w:rFonts w:hint="eastAsia" w:ascii="微软雅黑" w:hAnsi="微软雅黑" w:eastAsia="微软雅黑" w:cs="微软雅黑"/>
                <w:sz w:val="21"/>
                <w:szCs w:val="21"/>
              </w:rPr>
              <w:t>新婚夫妻免费【升级2晚大床房】</w:t>
            </w:r>
          </w:p>
          <w:p w14:paraId="1183CCB4">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822960"/>
                  <wp:effectExtent l="0" t="0" r="3175" b="0"/>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1" cstate="print"/>
                          <a:stretch>
                            <a:fillRect/>
                          </a:stretch>
                        </pic:blipFill>
                        <pic:spPr>
                          <a:xfrm>
                            <a:off x="0" y="0"/>
                            <a:ext cx="7327265" cy="822960"/>
                          </a:xfrm>
                          <a:prstGeom prst="rect">
                            <a:avLst/>
                          </a:prstGeom>
                          <a:noFill/>
                          <a:ln>
                            <a:noFill/>
                          </a:ln>
                        </pic:spPr>
                      </pic:pic>
                    </a:graphicData>
                  </a:graphic>
                </wp:inline>
              </w:drawing>
            </w:r>
          </w:p>
        </w:tc>
      </w:tr>
      <w:tr w14:paraId="68C7568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CD2C7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F68D4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7D0F0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5A800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1B3EC2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B810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BEE64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9D9078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DD0D5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0D3A8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52664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0A13E7A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6ECBE9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817B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黄龙洞</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7CFBD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9F0C2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4FD5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6A08C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4F916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73267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71960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森林公园</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云天渡玻璃桥</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412C3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18B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CC01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03E8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A20B57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8DB5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A32C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5B487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5D922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9C3ADD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6829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凤凰</w:t>
            </w:r>
          </w:p>
        </w:tc>
      </w:tr>
      <w:tr w14:paraId="1EBE8C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9F9DF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3273E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沱江泛舟</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万寿宫</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919B4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46F3B1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E6860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5D88A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736EEC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50F2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41F1476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7CB78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56E9B9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7E56EAC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D245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5BA2453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3C6E730">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694BA6F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77B89404">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6F7A59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343429A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5EECE77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EEABA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5C8CC31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11F687A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885483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84FEBA">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419584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94092B2">
            <w:pPr>
              <w:spacing w:line="240" w:lineRule="auto"/>
              <w:rPr>
                <w:rStyle w:val="18"/>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Light"/>
                <w:bCs/>
                <w:color w:val="FFFFFF" w:themeColor="background1"/>
                <w:kern w:val="0"/>
                <w:sz w:val="24"/>
                <w14:textFill>
                  <w14:solidFill>
                    <w14:schemeClr w14:val="bg1"/>
                  </w14:solidFill>
                </w14:textFill>
              </w:rPr>
              <w:t xml:space="preserve">  </w:t>
            </w:r>
            <w:r>
              <w:rPr>
                <w:rFonts w:hint="eastAsia" w:ascii="微软雅黑" w:hAnsi="微软雅黑" w:eastAsia="微软雅黑" w:cs="微软雅黑 Light"/>
                <w:b/>
                <w:color w:val="FFFFFF" w:themeColor="background1"/>
                <w:kern w:val="0"/>
                <w:sz w:val="24"/>
                <w14:textFill>
                  <w14:solidFill>
                    <w14:schemeClr w14:val="bg1"/>
                  </w14:solidFill>
                </w14:textFill>
              </w:rPr>
              <w:t xml:space="preserve">长沙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韶山 </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 xml:space="preserve"> </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黄龙洞（VIP 通道）</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 xml:space="preserve">晚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A4F16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9478D62">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早餐</w:t>
            </w:r>
            <w:r>
              <w:rPr>
                <w:rFonts w:hint="eastAsia" w:ascii="微软雅黑" w:hAnsi="微软雅黑" w:eastAsia="微软雅黑" w:cs="微软雅黑"/>
                <w:sz w:val="21"/>
                <w:szCs w:val="21"/>
                <w:lang w:val="en-US" w:eastAsia="zh-CN"/>
              </w:rPr>
              <w:t>后</w:t>
            </w:r>
            <w:r>
              <w:rPr>
                <w:rFonts w:hint="eastAsia" w:ascii="微软雅黑" w:hAnsi="微软雅黑" w:eastAsia="微软雅黑" w:cs="微软雅黑"/>
                <w:sz w:val="21"/>
                <w:szCs w:val="21"/>
              </w:rPr>
              <w:t>BUS赴红太阳升起的地方</w:t>
            </w:r>
            <w:r>
              <w:rPr>
                <w:rFonts w:hint="eastAsia" w:ascii="微软雅黑" w:hAnsi="微软雅黑" w:eastAsia="微软雅黑" w:cs="微软雅黑"/>
                <w:b/>
                <w:bCs/>
                <w:color w:val="FF0000"/>
                <w:sz w:val="21"/>
                <w:szCs w:val="21"/>
              </w:rPr>
              <w:t>【韶山AAAAA】</w:t>
            </w:r>
            <w:r>
              <w:rPr>
                <w:rFonts w:hint="eastAsia" w:ascii="微软雅黑" w:hAnsi="微软雅黑" w:eastAsia="微软雅黑" w:cs="微软雅黑"/>
                <w:sz w:val="21"/>
                <w:szCs w:val="21"/>
              </w:rPr>
              <w:t xml:space="preserve"> (车程约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小时，游览约</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一直以优越的历史地位，优美的自然环境，吸引着成千上万的中外游客，受到不同年龄，不同肤色，不同身份游客的</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广泛爱戴和普遍关注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“韶山真美，人杰地灵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这是五千多万访韶游客的一致赞颂。游览</w:t>
            </w:r>
            <w:r>
              <w:rPr>
                <w:rFonts w:hint="eastAsia" w:ascii="微软雅黑" w:hAnsi="微软雅黑" w:eastAsia="微软雅黑" w:cs="微软雅黑"/>
                <w:b/>
                <w:bCs/>
                <w:color w:val="FF0000"/>
                <w:sz w:val="21"/>
                <w:szCs w:val="21"/>
              </w:rPr>
              <w:t>【毛泽东故居】</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FF0000"/>
                <w:sz w:val="21"/>
                <w:szCs w:val="21"/>
              </w:rPr>
              <w:t>【铜像广场】</w:t>
            </w:r>
            <w:r>
              <w:rPr>
                <w:rFonts w:hint="eastAsia" w:ascii="微软雅黑" w:hAnsi="微软雅黑" w:eastAsia="微软雅黑" w:cs="微软雅黑"/>
                <w:sz w:val="21"/>
                <w:szCs w:val="21"/>
              </w:rPr>
              <w:t>（约</w:t>
            </w:r>
            <w:r>
              <w:rPr>
                <w:rFonts w:hint="eastAsia" w:ascii="微软雅黑" w:hAnsi="微软雅黑" w:eastAsia="微软雅黑" w:cs="微软雅黑"/>
                <w:sz w:val="21"/>
                <w:szCs w:val="21"/>
                <w:lang w:val="en-US" w:eastAsia="zh-CN"/>
              </w:rPr>
              <w:t>20</w:t>
            </w:r>
            <w:r>
              <w:rPr>
                <w:rFonts w:hint="eastAsia" w:ascii="微软雅黑" w:hAnsi="微软雅黑" w:eastAsia="微软雅黑" w:cs="微软雅黑"/>
                <w:sz w:val="21"/>
                <w:szCs w:val="21"/>
              </w:rPr>
              <w:t>分钟</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以上景点属于政府公益性免费开放景点， 已含景区绿色VI</w:t>
            </w:r>
            <w:r>
              <w:rPr>
                <w:rFonts w:hint="eastAsia" w:ascii="微软雅黑" w:hAnsi="微软雅黑" w:eastAsia="微软雅黑" w:cs="微软雅黑"/>
                <w:sz w:val="21"/>
                <w:szCs w:val="21"/>
                <w:lang w:val="en-US" w:eastAsia="zh-CN"/>
              </w:rPr>
              <w:t>P</w:t>
            </w:r>
            <w:r>
              <w:rPr>
                <w:rFonts w:hint="eastAsia" w:ascii="微软雅黑" w:hAnsi="微软雅黑" w:eastAsia="微软雅黑" w:cs="微软雅黑"/>
                <w:sz w:val="21"/>
                <w:szCs w:val="21"/>
              </w:rPr>
              <w:t>通道）（游览时间不少于</w:t>
            </w: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小时）。</w:t>
            </w:r>
          </w:p>
          <w:p w14:paraId="7F32F8B2">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rPr>
              <w:t>后BUS赴张家界（约</w:t>
            </w:r>
            <w:r>
              <w:rPr>
                <w:rFonts w:hint="eastAsia" w:ascii="微软雅黑" w:hAnsi="微软雅黑" w:eastAsia="微软雅黑" w:cs="微软雅黑"/>
                <w:sz w:val="21"/>
                <w:szCs w:val="21"/>
                <w:lang w:val="en-US" w:eastAsia="zh-CN"/>
              </w:rPr>
              <w:t>4.5</w:t>
            </w:r>
            <w:r>
              <w:rPr>
                <w:rFonts w:hint="eastAsia" w:ascii="微软雅黑" w:hAnsi="微软雅黑" w:eastAsia="微软雅黑" w:cs="微软雅黑"/>
                <w:sz w:val="21"/>
                <w:szCs w:val="21"/>
              </w:rPr>
              <w:t>小时），下午赠游享有“世 界溶洞全能冠军 ”之称的国家 AAAA</w:t>
            </w:r>
            <w:r>
              <w:rPr>
                <w:rFonts w:hint="eastAsia" w:ascii="微软雅黑" w:hAnsi="微软雅黑" w:eastAsia="微软雅黑" w:cs="微软雅黑"/>
                <w:color w:val="auto"/>
                <w:sz w:val="21"/>
                <w:szCs w:val="21"/>
              </w:rPr>
              <w:t>A</w:t>
            </w:r>
            <w:r>
              <w:rPr>
                <w:rFonts w:hint="eastAsia" w:ascii="微软雅黑" w:hAnsi="微软雅黑" w:eastAsia="微软雅黑" w:cs="微软雅黑"/>
                <w:b/>
                <w:bCs/>
                <w:color w:val="FF0000"/>
                <w:sz w:val="21"/>
                <w:szCs w:val="21"/>
              </w:rPr>
              <w:t>【黄龙洞】</w:t>
            </w:r>
            <w:r>
              <w:rPr>
                <w:rFonts w:hint="eastAsia" w:ascii="微软雅黑" w:hAnsi="微软雅黑" w:eastAsia="微软雅黑" w:cs="微软雅黑"/>
                <w:sz w:val="21"/>
                <w:szCs w:val="21"/>
              </w:rPr>
              <w:t>（赠送门票已含，不参加不退）漫步《田园牧歌景区》，山民 日出而作日落而息，炊烟袅袅，男耕女织，自在依然，全年四季变换更替，景各千秋，一派世外桃源。探秘洞中，灯火阑珊、石笋林立，犹如一株株古木错节盘根、洞中有洞、洞中有河、无奇不有，真乃名副其实的“地下魔宫 ”</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洞中还有投保一亿元的石笋《定海神针》、《响水河》等著名景点，入住酒店。</w:t>
            </w:r>
          </w:p>
        </w:tc>
      </w:tr>
      <w:tr w14:paraId="1E4824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3498A38B">
            <w:pPr>
              <w:keepNext w:val="0"/>
              <w:keepLines w:val="0"/>
              <w:pageBreakBefore w:val="0"/>
              <w:widowControl w:val="0"/>
              <w:kinsoku/>
              <w:wordWrap/>
              <w:overflowPunct/>
              <w:topLinePunct w:val="0"/>
              <w:autoSpaceDE/>
              <w:autoSpaceDN/>
              <w:bidi w:val="0"/>
              <w:adjustRightInd/>
              <w:spacing w:line="440" w:lineRule="exac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6D7AD170">
            <w:pPr>
              <w:keepNext w:val="0"/>
              <w:keepLines w:val="0"/>
              <w:pageBreakBefore w:val="0"/>
              <w:widowControl w:val="0"/>
              <w:numPr>
                <w:ilvl w:val="0"/>
                <w:numId w:val="0"/>
              </w:numPr>
              <w:kinsoku/>
              <w:wordWrap/>
              <w:overflowPunct/>
              <w:topLinePunct w:val="0"/>
              <w:autoSpaceDE/>
              <w:autoSpaceDN/>
              <w:bidi w:val="0"/>
              <w:adjustRightInd/>
              <w:snapToGrid w:val="0"/>
              <w:spacing w:line="440" w:lineRule="exact"/>
              <w:textAlignment w:val="auto"/>
              <w:rPr>
                <w:rFonts w:hint="eastAsia" w:ascii="微软雅黑" w:hAnsi="微软雅黑" w:eastAsia="微软雅黑" w:cs="微软雅黑"/>
                <w:color w:val="00B0F0"/>
                <w:sz w:val="21"/>
                <w:szCs w:val="21"/>
                <w:lang w:eastAsia="zh-CN"/>
              </w:rPr>
            </w:pPr>
            <w:r>
              <w:rPr>
                <w:rFonts w:hint="eastAsia" w:ascii="微软雅黑" w:hAnsi="微软雅黑" w:eastAsia="微软雅黑" w:cs="微软雅黑"/>
                <w:color w:val="00B0F0"/>
                <w:sz w:val="21"/>
                <w:szCs w:val="21"/>
                <w:lang w:val="en-US" w:eastAsia="zh-CN"/>
              </w:rPr>
              <w:t>1、</w:t>
            </w:r>
            <w:r>
              <w:rPr>
                <w:rFonts w:hint="eastAsia" w:ascii="微软雅黑" w:hAnsi="微软雅黑" w:eastAsia="微软雅黑" w:cs="微软雅黑"/>
                <w:color w:val="00B0F0"/>
                <w:sz w:val="21"/>
                <w:szCs w:val="21"/>
              </w:rPr>
              <w:t>韶山讲解员会向客人推荐给毛主席铜像敬献花篮</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根据花篮大小收取不同费用</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纯属个人信仰</w:t>
            </w:r>
            <w:r>
              <w:rPr>
                <w:rFonts w:hint="eastAsia" w:ascii="微软雅黑" w:hAnsi="微软雅黑" w:eastAsia="微软雅黑" w:cs="微软雅黑"/>
                <w:color w:val="00B0F0"/>
                <w:sz w:val="21"/>
                <w:szCs w:val="21"/>
                <w:lang w:eastAsia="zh-CN"/>
              </w:rPr>
              <w:t>，</w:t>
            </w:r>
            <w:r>
              <w:rPr>
                <w:rFonts w:hint="eastAsia" w:ascii="微软雅黑" w:hAnsi="微软雅黑" w:eastAsia="微软雅黑" w:cs="微软雅黑"/>
                <w:color w:val="00B0F0"/>
                <w:sz w:val="21"/>
                <w:szCs w:val="21"/>
              </w:rPr>
              <w:t>自愿消费）等景点</w:t>
            </w:r>
            <w:r>
              <w:rPr>
                <w:rFonts w:hint="eastAsia" w:ascii="微软雅黑" w:hAnsi="微软雅黑" w:eastAsia="微软雅黑" w:cs="微软雅黑"/>
                <w:color w:val="00B0F0"/>
                <w:sz w:val="21"/>
                <w:szCs w:val="21"/>
                <w:lang w:eastAsia="zh-CN"/>
              </w:rPr>
              <w:t>。</w:t>
            </w:r>
          </w:p>
          <w:p w14:paraId="57D36986">
            <w:pPr>
              <w:keepNext w:val="0"/>
              <w:keepLines w:val="0"/>
              <w:pageBreakBefore w:val="0"/>
              <w:widowControl w:val="0"/>
              <w:kinsoku/>
              <w:wordWrap/>
              <w:overflowPunct/>
              <w:topLinePunct w:val="0"/>
              <w:autoSpaceDE/>
              <w:autoSpaceDN/>
              <w:bidi w:val="0"/>
              <w:adjustRightInd/>
              <w:snapToGrid/>
              <w:spacing w:line="360" w:lineRule="exact"/>
              <w:ind w:right="-21" w:rightChars="-1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color w:val="00B0F0"/>
                <w:sz w:val="21"/>
                <w:szCs w:val="21"/>
                <w:lang w:val="en-US" w:eastAsia="zh-CN"/>
              </w:rPr>
              <w:t>2、</w:t>
            </w:r>
            <w:r>
              <w:rPr>
                <w:rFonts w:hint="eastAsia" w:ascii="微软雅黑" w:hAnsi="微软雅黑" w:eastAsia="微软雅黑" w:cs="微软雅黑"/>
                <w:color w:val="00B0F0"/>
                <w:sz w:val="21"/>
                <w:szCs w:val="21"/>
              </w:rPr>
              <w:t>参观故居须知：每日限流参观，实行预约，先到先约，能约尽约，约不到票，参观故居外围，不接受此方面投诉</w:t>
            </w:r>
            <w:r>
              <w:rPr>
                <w:rFonts w:hint="eastAsia" w:ascii="微软雅黑" w:hAnsi="微软雅黑" w:eastAsia="微软雅黑" w:cs="微软雅黑"/>
                <w:color w:val="00B0F0"/>
                <w:sz w:val="21"/>
                <w:szCs w:val="21"/>
                <w:lang w:eastAsia="zh-CN"/>
              </w:rPr>
              <w:t>。</w:t>
            </w:r>
          </w:p>
        </w:tc>
      </w:tr>
      <w:tr w14:paraId="360201D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4" w:hRule="atLeast"/>
        </w:trPr>
        <w:tc>
          <w:tcPr>
            <w:tcW w:w="11628" w:type="dxa"/>
            <w:gridSpan w:val="6"/>
            <w:tcBorders>
              <w:top w:val="single" w:color="auto" w:sz="4" w:space="0"/>
              <w:left w:val="single" w:color="auto" w:sz="4" w:space="0"/>
              <w:bottom w:val="single" w:color="auto" w:sz="4" w:space="0"/>
              <w:right w:val="single" w:color="auto" w:sz="4" w:space="0"/>
            </w:tcBorders>
          </w:tcPr>
          <w:p w14:paraId="04EFB045">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ascii="微软雅黑" w:hAnsi="微软雅黑" w:eastAsia="微软雅黑" w:cs="微软雅黑"/>
                <w:szCs w:val="21"/>
              </w:rPr>
            </w:pPr>
            <w:r>
              <w:rPr>
                <w:rFonts w:hint="eastAsia" w:ascii="微软雅黑" w:hAnsi="微软雅黑" w:eastAsia="微软雅黑" w:cs="微软雅黑"/>
                <w:color w:val="000000"/>
                <w:kern w:val="0"/>
                <w:sz w:val="24"/>
                <w:lang w:eastAsia="zh-CN"/>
              </w:rPr>
              <w:drawing>
                <wp:anchor distT="0" distB="0" distL="114300" distR="114300" simplePos="0" relativeHeight="251663360" behindDoc="0" locked="0" layoutInCell="1" allowOverlap="1">
                  <wp:simplePos x="0" y="0"/>
                  <wp:positionH relativeFrom="column">
                    <wp:posOffset>4681220</wp:posOffset>
                  </wp:positionH>
                  <wp:positionV relativeFrom="paragraph">
                    <wp:posOffset>46990</wp:posOffset>
                  </wp:positionV>
                  <wp:extent cx="2552700" cy="1626870"/>
                  <wp:effectExtent l="0" t="0" r="7620" b="3810"/>
                  <wp:wrapTopAndBottom/>
                  <wp:docPr id="1" name="图片 1" descr="1d345343388a42418373a5858be525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d345343388a42418373a5858be525e5"/>
                          <pic:cNvPicPr>
                            <a:picLocks noChangeAspect="1"/>
                          </pic:cNvPicPr>
                        </pic:nvPicPr>
                        <pic:blipFill>
                          <a:blip r:embed="rId22"/>
                          <a:stretch>
                            <a:fillRect/>
                          </a:stretch>
                        </pic:blipFill>
                        <pic:spPr>
                          <a:xfrm>
                            <a:off x="0" y="0"/>
                            <a:ext cx="2552700" cy="162687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59264" behindDoc="0" locked="0" layoutInCell="1" allowOverlap="1">
                  <wp:simplePos x="0" y="0"/>
                  <wp:positionH relativeFrom="column">
                    <wp:posOffset>35560</wp:posOffset>
                  </wp:positionH>
                  <wp:positionV relativeFrom="page">
                    <wp:posOffset>31750</wp:posOffset>
                  </wp:positionV>
                  <wp:extent cx="2311400" cy="1642110"/>
                  <wp:effectExtent l="0" t="0" r="12700" b="15240"/>
                  <wp:wrapSquare wrapText="bothSides"/>
                  <wp:docPr id="49"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韶山"/>
                          <pic:cNvPicPr>
                            <a:picLocks noChangeAspect="1"/>
                          </pic:cNvPicPr>
                        </pic:nvPicPr>
                        <pic:blipFill>
                          <a:blip r:embed="rId23"/>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0288" behindDoc="0" locked="0" layoutInCell="1" allowOverlap="1">
                  <wp:simplePos x="0" y="0"/>
                  <wp:positionH relativeFrom="column">
                    <wp:posOffset>2372360</wp:posOffset>
                  </wp:positionH>
                  <wp:positionV relativeFrom="page">
                    <wp:posOffset>19050</wp:posOffset>
                  </wp:positionV>
                  <wp:extent cx="2290445" cy="1687195"/>
                  <wp:effectExtent l="0" t="0" r="10795" b="4445"/>
                  <wp:wrapSquare wrapText="bothSides"/>
                  <wp:docPr id="4" name="图片 4"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4922468f17fba6e8bce9451f627d698_O1CN01Ziet0c1eKGAKh1fbE_!!2820793852.jpg_640x640"/>
                          <pic:cNvPicPr>
                            <a:picLocks noChangeAspect="1"/>
                          </pic:cNvPicPr>
                        </pic:nvPicPr>
                        <pic:blipFill>
                          <a:blip r:embed="rId24"/>
                          <a:stretch>
                            <a:fillRect/>
                          </a:stretch>
                        </pic:blipFill>
                        <pic:spPr>
                          <a:xfrm>
                            <a:off x="0" y="0"/>
                            <a:ext cx="2290445" cy="1687195"/>
                          </a:xfrm>
                          <a:prstGeom prst="rect">
                            <a:avLst/>
                          </a:prstGeom>
                        </pic:spPr>
                      </pic:pic>
                    </a:graphicData>
                  </a:graphic>
                </wp:anchor>
              </w:drawing>
            </w:r>
          </w:p>
        </w:tc>
      </w:tr>
      <w:tr w14:paraId="403ED2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0BB51F10">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森林公园</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eastAsia="zh-CN"/>
                <w14:textFill>
                  <w14:solidFill>
                    <w14:schemeClr w14:val="bg1"/>
                  </w14:solidFill>
                </w14:textFill>
              </w:rPr>
              <w:t>天子山</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14:textFill>
                  <w14:solidFill>
                    <w14:schemeClr w14:val="bg1"/>
                  </w14:solidFill>
                </w14:textFill>
              </w:rPr>
              <w:t>袁家界</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金鞭溪</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玻璃桥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color w:val="FFFFFF" w:themeColor="background1"/>
                <w:kern w:val="0"/>
                <w:sz w:val="24"/>
                <w:lang w:val="en-US" w:eastAsia="zh-CN"/>
                <w14:textFill>
                  <w14:solidFill>
                    <w14:schemeClr w14:val="bg1"/>
                  </w14:solidFill>
                </w14:textFill>
              </w:rPr>
              <w:t>千古情晚会</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2F8D0F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12"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293F560">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 xml:space="preserve"> </w:t>
            </w:r>
            <w:r>
              <w:rPr>
                <w:rFonts w:hint="eastAsia" w:ascii="微软雅黑" w:hAnsi="微软雅黑" w:eastAsia="微软雅黑" w:cs="微软雅黑"/>
                <w:sz w:val="21"/>
                <w:szCs w:val="21"/>
              </w:rPr>
              <w:t>早餐后前往 AAAAA 级</w:t>
            </w:r>
            <w:r>
              <w:rPr>
                <w:rFonts w:hint="eastAsia" w:ascii="微软雅黑" w:hAnsi="微软雅黑" w:eastAsia="微软雅黑" w:cs="微软雅黑"/>
                <w:b/>
                <w:bCs/>
                <w:color w:val="FF0000"/>
                <w:sz w:val="21"/>
                <w:szCs w:val="21"/>
              </w:rPr>
              <w:t>【张家界国家森林公园】</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乘</w:t>
            </w:r>
            <w:r>
              <w:rPr>
                <w:rFonts w:hint="eastAsia" w:ascii="微软雅黑" w:hAnsi="微软雅黑" w:eastAsia="微软雅黑" w:cs="微软雅黑"/>
                <w:sz w:val="21"/>
                <w:szCs w:val="21"/>
              </w:rPr>
              <w:t>环保车前往【天子山风景区】</w:t>
            </w:r>
            <w:r>
              <w:rPr>
                <w:rFonts w:hint="eastAsia" w:ascii="微软雅黑" w:hAnsi="微软雅黑" w:eastAsia="微软雅黑" w:cs="微软雅黑"/>
                <w:sz w:val="21"/>
                <w:szCs w:val="21"/>
                <w:lang w:eastAsia="zh-CN"/>
              </w:rPr>
              <w:t>（含天子山索道上行）</w:t>
            </w:r>
            <w:r>
              <w:rPr>
                <w:rFonts w:hint="eastAsia" w:ascii="微软雅黑" w:hAnsi="微软雅黑" w:eastAsia="微软雅黑" w:cs="微软雅黑"/>
                <w:sz w:val="21"/>
                <w:szCs w:val="21"/>
              </w:rPr>
              <w:t>“谁人识得天子面，归来不看天下山 ” 可见天子山风光旖旎，景色秀美，景点众多，游览集自 然于人文于一体的贺龙公园、御笔峰、仙女献花、西海石林、石船出海等，可登上天子山最高点天子阁，远眺天子山全景。</w:t>
            </w:r>
            <w:r>
              <w:rPr>
                <w:rFonts w:hint="eastAsia" w:ascii="微软雅黑" w:hAnsi="微软雅黑" w:eastAsia="微软雅黑" w:cs="微软雅黑"/>
                <w:sz w:val="21"/>
                <w:szCs w:val="21"/>
                <w:lang w:eastAsia="zh-CN"/>
              </w:rPr>
              <w:t>前往</w:t>
            </w:r>
            <w:r>
              <w:rPr>
                <w:rFonts w:hint="eastAsia" w:ascii="微软雅黑" w:hAnsi="微软雅黑" w:eastAsia="微软雅黑" w:cs="微软雅黑"/>
                <w:sz w:val="21"/>
                <w:szCs w:val="21"/>
              </w:rPr>
              <w:t>袁家界参观</w:t>
            </w:r>
            <w:r>
              <w:rPr>
                <w:rFonts w:hint="eastAsia" w:ascii="微软雅黑" w:hAnsi="微软雅黑" w:eastAsia="微软雅黑" w:cs="微软雅黑"/>
                <w:b/>
                <w:bCs/>
                <w:sz w:val="21"/>
                <w:szCs w:val="21"/>
              </w:rPr>
              <w:t>【</w:t>
            </w:r>
            <w:r>
              <w:rPr>
                <w:rFonts w:hint="eastAsia" w:ascii="微软雅黑" w:hAnsi="微软雅黑" w:eastAsia="微软雅黑" w:cs="微软雅黑"/>
                <w:b/>
                <w:bCs/>
                <w:color w:val="FF0000"/>
                <w:sz w:val="21"/>
                <w:szCs w:val="21"/>
              </w:rPr>
              <w:t>袁家界景区】</w:t>
            </w:r>
            <w:r>
              <w:rPr>
                <w:rFonts w:hint="eastAsia" w:ascii="微软雅黑" w:hAnsi="微软雅黑" w:eastAsia="微软雅黑" w:cs="微软雅黑"/>
                <w:sz w:val="21"/>
                <w:szCs w:val="21"/>
                <w:lang w:eastAsia="zh-CN"/>
              </w:rPr>
              <w:t>（含</w:t>
            </w:r>
            <w:r>
              <w:rPr>
                <w:rFonts w:hint="eastAsia" w:ascii="微软雅黑" w:hAnsi="微软雅黑" w:eastAsia="微软雅黑" w:cs="微软雅黑"/>
                <w:sz w:val="21"/>
                <w:szCs w:val="21"/>
              </w:rPr>
              <w:t>百龙电梯</w:t>
            </w:r>
            <w:r>
              <w:rPr>
                <w:rFonts w:hint="eastAsia" w:ascii="微软雅黑" w:hAnsi="微软雅黑" w:eastAsia="微软雅黑" w:cs="微软雅黑"/>
                <w:sz w:val="21"/>
                <w:szCs w:val="21"/>
                <w:lang w:eastAsia="zh-CN"/>
              </w:rPr>
              <w:t>下行）</w:t>
            </w:r>
            <w:r>
              <w:rPr>
                <w:rFonts w:hint="eastAsia" w:ascii="微软雅黑" w:hAnsi="微软雅黑" w:eastAsia="微软雅黑" w:cs="微软雅黑"/>
                <w:sz w:val="21"/>
                <w:szCs w:val="21"/>
              </w:rPr>
              <w:t>探寻《阿 凡达》 电影中的群山漂浮、星罗棋布的玄幻莫测世界--“ 哈利路亚山 ” 即“南天一柱 ”（又名乾坤柱），参观云雾飘绕、峰峦叠嶂，继往气势磅礴的迷魂台、天下第一桥等空中绝景；世界最美的</w:t>
            </w:r>
            <w:r>
              <w:rPr>
                <w:rFonts w:hint="eastAsia" w:ascii="微软雅黑" w:hAnsi="微软雅黑" w:eastAsia="微软雅黑" w:cs="微软雅黑"/>
                <w:b/>
                <w:bCs/>
                <w:color w:val="FF0000"/>
                <w:sz w:val="21"/>
                <w:szCs w:val="21"/>
              </w:rPr>
              <w:t>【金鞭溪】</w:t>
            </w:r>
            <w:r>
              <w:rPr>
                <w:rFonts w:hint="eastAsia" w:ascii="微软雅黑" w:hAnsi="微软雅黑" w:eastAsia="微软雅黑" w:cs="微软雅黑"/>
                <w:sz w:val="21"/>
                <w:szCs w:val="21"/>
              </w:rPr>
              <w:t>（近距离感受大自然的童趣,金鞭溪戏水,徒手抓鱼摸螃蟹， 看野生猕猴）水绕四门生态广场，人沿清溪行，宛如画中游，峰峦幽谷，溪水明净，并重温 86 版《西 游记》。</w:t>
            </w:r>
          </w:p>
          <w:p w14:paraId="1EFBB3C6">
            <w:pPr>
              <w:keepNext w:val="0"/>
              <w:keepLines w:val="0"/>
              <w:pageBreakBefore w:val="0"/>
              <w:widowControl w:val="0"/>
              <w:shd w:val="clear" w:color="auto" w:fill="auto"/>
              <w:tabs>
                <w:tab w:val="left" w:pos="9240"/>
                <w:tab w:val="left" w:pos="11340"/>
              </w:tabs>
              <w:kinsoku/>
              <w:wordWrap/>
              <w:overflowPunct/>
              <w:topLinePunct w:val="0"/>
              <w:autoSpaceDE/>
              <w:autoSpaceDN/>
              <w:bidi w:val="0"/>
              <w:adjustRightInd/>
              <w:snapToGrid/>
              <w:spacing w:before="20" w:line="360" w:lineRule="exact"/>
              <w:ind w:right="72" w:rightChars="0" w:firstLine="420" w:firstLineChars="2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赴</w:t>
            </w:r>
            <w:r>
              <w:rPr>
                <w:rFonts w:hint="eastAsia" w:ascii="微软雅黑" w:hAnsi="微软雅黑" w:eastAsia="微软雅黑" w:cs="微软雅黑"/>
                <w:b/>
                <w:bCs/>
                <w:color w:val="FF0000"/>
                <w:sz w:val="21"/>
                <w:szCs w:val="21"/>
              </w:rPr>
              <w:t>【世界第一玻璃桥·云天渡】</w:t>
            </w:r>
            <w:r>
              <w:rPr>
                <w:rFonts w:hint="eastAsia" w:ascii="微软雅黑" w:hAnsi="微软雅黑" w:eastAsia="微软雅黑" w:cs="微软雅黑"/>
                <w:sz w:val="21"/>
                <w:szCs w:val="21"/>
              </w:rPr>
              <w:t>（已含门票，赠送上桥鞋套 5 元/人）乘车抵达山顶后，感受全球 最长最高的玻璃桥，云天渡玻璃桥桥长 430 米，距谷底约 400 米，宽 6 米，全部采用 99 块透明玻璃铺设而成。 仰望蓝天白云，俯瞰溪流潺潺，似漫步云端，超脱尘世，忘却凡间。凭身体承受能力体验首座世界第一长的高山峡谷斜拉 玻璃桥奇观，它目前是世界最长、最高的全透明玻璃桥，并创下世界最高最长、首次使用新型复合材料建造桥梁等多项世界之最。</w:t>
            </w:r>
          </w:p>
          <w:p w14:paraId="113796B8">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420" w:firstLineChars="200"/>
              <w:textAlignment w:val="auto"/>
              <w:rPr>
                <w:rFonts w:hint="default"/>
                <w:lang w:val="en-US" w:eastAsia="zh-CN"/>
              </w:rPr>
            </w:pPr>
            <w:r>
              <w:rPr>
                <w:rFonts w:hint="eastAsia" w:ascii="微软雅黑" w:hAnsi="微软雅黑" w:eastAsia="微软雅黑" w:cs="微软雅黑"/>
                <w:sz w:val="21"/>
                <w:szCs w:val="21"/>
              </w:rPr>
              <w:t>晚餐后观看土家大型民俗风情表演后</w:t>
            </w:r>
            <w:r>
              <w:rPr>
                <w:rFonts w:hint="eastAsia" w:ascii="微软雅黑" w:hAnsi="微软雅黑" w:eastAsia="微软雅黑" w:cs="微软雅黑"/>
                <w:b/>
                <w:bCs/>
                <w:color w:val="FF0000"/>
                <w:sz w:val="21"/>
                <w:szCs w:val="21"/>
              </w:rPr>
              <w:t>【张家界千古情】</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普通</w:t>
            </w:r>
            <w:r>
              <w:rPr>
                <w:rFonts w:hint="eastAsia" w:ascii="微软雅黑" w:hAnsi="微软雅黑" w:eastAsia="微软雅黑" w:cs="微软雅黑"/>
                <w:sz w:val="21"/>
                <w:szCs w:val="21"/>
              </w:rPr>
              <w:t>费用已含） 张家界千古情景区由世界演艺第一的宋城演艺倾力打造，位于张家界核心景区武陵源风景名胜区，再现了张家界万年的历史文化与民族风情，老少同乐，晴雨皆宜。巨型千古情女神造像气势宏伟，与张家界的奇山异水融为一体，是湖南大地真善美儿女的化身。近万平米的旅游综合体内拥有丛林大冒险、旋转木马、淘气堡、 碰碰车等数十项儿童游乐，是亲子互动的理想去处。清明上河图电影馆、赶尸鬼屋、蚩尤呼风唤雨风暴馆</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怪街等高科技体验项目惊喜连连。大庸古村内土家织锦、湘绣、傩戏面具、糖画、打糍粑、陶艺坊等非物质文化遗产和手工作坊云集， 近距离体验非遗文化的魅力。景区核心项目大型歌舞</w:t>
            </w:r>
            <w:r>
              <w:rPr>
                <w:rFonts w:hint="eastAsia" w:ascii="微软雅黑" w:hAnsi="微软雅黑" w:eastAsia="微软雅黑" w:cs="微软雅黑"/>
                <w:b/>
                <w:bCs/>
                <w:sz w:val="21"/>
                <w:szCs w:val="21"/>
              </w:rPr>
              <w:t>《张家界千古情》</w:t>
            </w:r>
            <w:r>
              <w:rPr>
                <w:rFonts w:hint="eastAsia" w:ascii="微软雅黑" w:hAnsi="微软雅黑" w:eastAsia="微软雅黑" w:cs="微软雅黑"/>
                <w:sz w:val="21"/>
                <w:szCs w:val="21"/>
              </w:rPr>
              <w:t>是一生必看的演出，《摆手篝火狂欢》《土司招婿》《覃将点兵》《穿越快闪秀》等数十大演艺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秀和科技秀让你感受一场文化与科技的饕餮盛宴（不看不退费，因场次人数等限制有权互换赠送</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rPr>
              <w:t>魅力湘西</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eastAsia="zh-CN"/>
              </w:rPr>
              <w:t>。</w:t>
            </w:r>
          </w:p>
          <w:p w14:paraId="3B6849FB">
            <w:pPr>
              <w:rPr>
                <w:rFonts w:hint="default"/>
                <w:lang w:val="en-US" w:eastAsia="zh-CN"/>
              </w:rPr>
            </w:pPr>
            <w:r>
              <w:rPr>
                <w:rFonts w:hint="default"/>
                <w:lang w:val="en-US" w:eastAsia="zh-CN"/>
              </w:rPr>
              <w:drawing>
                <wp:inline distT="0" distB="0" distL="114300" distR="114300">
                  <wp:extent cx="2405380" cy="1550670"/>
                  <wp:effectExtent l="0" t="0" r="13970" b="11430"/>
                  <wp:docPr id="8" name="图片 8" descr="森林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森林公园"/>
                          <pic:cNvPicPr>
                            <a:picLocks noChangeAspect="1"/>
                          </pic:cNvPicPr>
                        </pic:nvPicPr>
                        <pic:blipFill>
                          <a:blip r:embed="rId25"/>
                          <a:stretch>
                            <a:fillRect/>
                          </a:stretch>
                        </pic:blipFill>
                        <pic:spPr>
                          <a:xfrm>
                            <a:off x="0" y="0"/>
                            <a:ext cx="2405380" cy="1550670"/>
                          </a:xfrm>
                          <a:prstGeom prst="rect">
                            <a:avLst/>
                          </a:prstGeom>
                        </pic:spPr>
                      </pic:pic>
                    </a:graphicData>
                  </a:graphic>
                </wp:inline>
              </w:drawing>
            </w:r>
            <w:r>
              <w:rPr>
                <w:rFonts w:hint="default"/>
                <w:lang w:val="en-US" w:eastAsia="zh-CN"/>
              </w:rPr>
              <w:drawing>
                <wp:inline distT="0" distB="0" distL="114300" distR="114300">
                  <wp:extent cx="2351405" cy="1569720"/>
                  <wp:effectExtent l="0" t="0" r="10795" b="11430"/>
                  <wp:docPr id="9" name="图片 9"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beab73a80074413aa96d418abc24006_th"/>
                          <pic:cNvPicPr>
                            <a:picLocks noChangeAspect="1"/>
                          </pic:cNvPicPr>
                        </pic:nvPicPr>
                        <pic:blipFill>
                          <a:blip r:embed="rId26"/>
                          <a:stretch>
                            <a:fillRect/>
                          </a:stretch>
                        </pic:blipFill>
                        <pic:spPr>
                          <a:xfrm>
                            <a:off x="0" y="0"/>
                            <a:ext cx="2351405" cy="1569720"/>
                          </a:xfrm>
                          <a:prstGeom prst="rect">
                            <a:avLst/>
                          </a:prstGeom>
                        </pic:spPr>
                      </pic:pic>
                    </a:graphicData>
                  </a:graphic>
                </wp:inline>
              </w:drawing>
            </w:r>
            <w:r>
              <w:rPr>
                <w:rFonts w:ascii="宋体" w:hAnsi="宋体" w:eastAsia="宋体" w:cs="宋体"/>
                <w:sz w:val="24"/>
                <w:szCs w:val="24"/>
              </w:rPr>
              <w:drawing>
                <wp:inline distT="0" distB="0" distL="114300" distR="114300">
                  <wp:extent cx="2408555" cy="1570990"/>
                  <wp:effectExtent l="0" t="0" r="14605" b="1397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27"/>
                          <a:stretch>
                            <a:fillRect/>
                          </a:stretch>
                        </pic:blipFill>
                        <pic:spPr>
                          <a:xfrm>
                            <a:off x="0" y="0"/>
                            <a:ext cx="2408555" cy="1570990"/>
                          </a:xfrm>
                          <a:prstGeom prst="rect">
                            <a:avLst/>
                          </a:prstGeom>
                          <a:noFill/>
                          <a:ln w="9525">
                            <a:noFill/>
                          </a:ln>
                        </pic:spPr>
                      </pic:pic>
                    </a:graphicData>
                  </a:graphic>
                </wp:inline>
              </w:drawing>
            </w:r>
          </w:p>
        </w:tc>
      </w:tr>
      <w:tr w14:paraId="15F887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779AF31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33571489">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2C2367B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43E4C945">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707DDA9F">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tc>
      </w:tr>
      <w:tr w14:paraId="0D0858A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C035870">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土司王府</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天门山</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凤凰古城夜景</w:t>
            </w:r>
            <w:r>
              <w:rPr>
                <w:rFonts w:hint="eastAsia" w:ascii="微软雅黑" w:hAnsi="微软雅黑" w:eastAsia="微软雅黑" w:cs="微软雅黑"/>
                <w:b/>
                <w:bCs/>
                <w:color w:val="FFFFFF"/>
                <w:sz w:val="28"/>
                <w:szCs w:val="28"/>
              </w:rPr>
              <w:t>→</w:t>
            </w:r>
            <w:r>
              <w:rPr>
                <w:rFonts w:hint="eastAsia" w:ascii="微软雅黑" w:hAnsi="微软雅黑" w:eastAsia="微软雅黑" w:cs="宋体"/>
                <w:b/>
                <w:bCs/>
                <w:color w:val="FFFFFF" w:themeColor="background1"/>
                <w:kern w:val="0"/>
                <w:sz w:val="24"/>
                <w14:textFill>
                  <w14:solidFill>
                    <w14:schemeClr w14:val="bg1"/>
                  </w14:solidFill>
                </w14:textFill>
              </w:rPr>
              <w:t>七重水幕灯光秀</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lang w:eastAsia="zh-CN"/>
              </w:rPr>
              <w:t>中</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凤凰</w:t>
            </w:r>
          </w:p>
        </w:tc>
      </w:tr>
      <w:tr w14:paraId="67B3C9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16" w:hRule="atLeast"/>
        </w:trPr>
        <w:tc>
          <w:tcPr>
            <w:tcW w:w="11628" w:type="dxa"/>
            <w:gridSpan w:val="6"/>
            <w:tcBorders>
              <w:top w:val="single" w:color="auto" w:sz="4" w:space="0"/>
              <w:left w:val="single" w:color="auto" w:sz="4" w:space="0"/>
              <w:bottom w:val="single" w:color="auto" w:sz="4" w:space="0"/>
              <w:right w:val="single" w:color="auto" w:sz="4" w:space="0"/>
            </w:tcBorders>
          </w:tcPr>
          <w:p w14:paraId="3A80900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color w:val="000000"/>
                <w:sz w:val="21"/>
                <w:szCs w:val="21"/>
              </w:rPr>
              <w:t>早餐后</w:t>
            </w:r>
            <w:r>
              <w:rPr>
                <w:rFonts w:hint="eastAsia" w:ascii="微软雅黑" w:hAnsi="微软雅黑" w:eastAsia="微软雅黑" w:cs="微软雅黑"/>
                <w:bCs/>
                <w:color w:val="000000"/>
                <w:sz w:val="21"/>
                <w:szCs w:val="21"/>
                <w:lang w:eastAsia="zh-CN"/>
              </w:rPr>
              <w:t>，</w:t>
            </w:r>
            <w:r>
              <w:rPr>
                <w:rFonts w:hint="eastAsia" w:ascii="微软雅黑" w:hAnsi="微软雅黑" w:eastAsia="微软雅黑" w:cs="微软雅黑"/>
                <w:bCs/>
                <w:sz w:val="21"/>
                <w:szCs w:val="21"/>
              </w:rPr>
              <w:t>游览</w:t>
            </w:r>
            <w:r>
              <w:rPr>
                <w:rFonts w:hint="eastAsia" w:ascii="微软雅黑" w:hAnsi="微软雅黑" w:eastAsia="微软雅黑" w:cs="微软雅黑"/>
                <w:b/>
                <w:bCs/>
                <w:color w:val="FF0000"/>
                <w:sz w:val="21"/>
                <w:szCs w:val="21"/>
              </w:rPr>
              <w:t>【土司王府】</w:t>
            </w:r>
            <w:r>
              <w:rPr>
                <w:rFonts w:hint="eastAsia" w:ascii="微软雅黑" w:hAnsi="微软雅黑" w:eastAsia="微软雅黑" w:cs="微软雅黑"/>
                <w:bCs/>
                <w:sz w:val="21"/>
                <w:szCs w:val="21"/>
              </w:rPr>
              <w:t>它是土家文化发源地，看一座神秘的古宅,看二位杰出名人的故园,看三件镇宅之宝,体验土家族四种神奇，土司城始建于清雍正初年，其建筑风格为四井封火墙式土家建筑，融土家园林.土家吊角楼于一体，是典型的毕兹卡（土家族）居民。是整个湘西乃至全国幸存下来，保存最为完好的土家古宅，堪称土家建筑的活化石。</w:t>
            </w:r>
          </w:p>
          <w:p w14:paraId="17CC18D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sz w:val="21"/>
                <w:szCs w:val="21"/>
              </w:rPr>
              <w:t>根据预约时间</w:t>
            </w:r>
            <w:r>
              <w:rPr>
                <w:rFonts w:hint="eastAsia" w:ascii="微软雅黑" w:hAnsi="微软雅黑" w:eastAsia="微软雅黑" w:cs="微软雅黑"/>
                <w:bCs/>
                <w:color w:val="000000"/>
                <w:sz w:val="21"/>
                <w:szCs w:val="21"/>
              </w:rPr>
              <w:t>游览文学大师金庸欣然挥毫的“天门仙山”，也是黄渤、徐峥主演的电影《玩命邂逅》拍摄地之一的——</w:t>
            </w:r>
            <w:r>
              <w:rPr>
                <w:rFonts w:hint="eastAsia" w:ascii="微软雅黑" w:hAnsi="微软雅黑" w:eastAsia="微软雅黑" w:cs="微软雅黑"/>
                <w:b/>
                <w:bCs/>
                <w:color w:val="FF0000"/>
                <w:sz w:val="21"/>
                <w:szCs w:val="21"/>
              </w:rPr>
              <w:t>【天门山】</w:t>
            </w:r>
            <w:r>
              <w:rPr>
                <w:rFonts w:hint="eastAsia" w:ascii="微软雅黑" w:hAnsi="微软雅黑" w:eastAsia="微软雅黑" w:cs="微软雅黑"/>
                <w:bCs/>
                <w:color w:val="FF0000"/>
                <w:kern w:val="0"/>
                <w:sz w:val="21"/>
                <w:szCs w:val="21"/>
                <w:lang w:bidi="ar"/>
              </w:rPr>
              <w:t>【赠送双程扶梯和玻璃栈道鞋套】，</w:t>
            </w:r>
            <w:r>
              <w:rPr>
                <w:rFonts w:hint="eastAsia" w:ascii="微软雅黑" w:hAnsi="微软雅黑" w:eastAsia="微软雅黑" w:cs="微软雅黑"/>
                <w:bCs/>
                <w:color w:val="000000"/>
                <w:sz w:val="21"/>
                <w:szCs w:val="21"/>
              </w:rPr>
              <w:t>体验和感受六大古迷之外的五大亮点：1、世界最长的客运索道2、世界八大恐怖栈道之一的鬼谷玻璃栈道3、观赏世界最高的空中花园4、世界最高的穿山扶梯5、世界第一的公路奇观通天大道；天门洞、鬼谷洞、空中长廊等等，挑战你的高空极限，历史文化积淀深厚的天门山，一直被当地人民奉为神山，圣山，更被誉为“湘西第一神山”和“武陵之魂” 的美誉。</w:t>
            </w:r>
          </w:p>
          <w:p w14:paraId="05D79929">
            <w:pPr>
              <w:keepNext w:val="0"/>
              <w:keepLines w:val="0"/>
              <w:pageBreakBefore w:val="0"/>
              <w:widowControl w:val="0"/>
              <w:kinsoku/>
              <w:wordWrap/>
              <w:overflowPunct/>
              <w:topLinePunct w:val="0"/>
              <w:autoSpaceDE/>
              <w:autoSpaceDN/>
              <w:bidi w:val="0"/>
              <w:adjustRightInd/>
              <w:snapToGrid w:val="0"/>
              <w:spacing w:line="360" w:lineRule="exact"/>
              <w:ind w:firstLine="420" w:firstLineChars="200"/>
              <w:contextualSpacing/>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中餐后</w:t>
            </w:r>
            <w:r>
              <w:rPr>
                <w:rFonts w:hint="eastAsia" w:ascii="微软雅黑" w:hAnsi="微软雅黑" w:eastAsia="微软雅黑" w:cs="微软雅黑"/>
                <w:color w:val="000000" w:themeColor="text1"/>
                <w:kern w:val="0"/>
                <w:sz w:val="21"/>
                <w:szCs w:val="21"/>
                <w14:textFill>
                  <w14:solidFill>
                    <w14:schemeClr w14:val="tx1"/>
                  </w14:solidFill>
                </w14:textFill>
              </w:rPr>
              <w:t xml:space="preserve">前往神秘湘西深处沈从文笔下的边城【凤凰古城】 </w:t>
            </w:r>
            <w:r>
              <w:rPr>
                <w:rFonts w:hint="eastAsia" w:ascii="微软雅黑" w:hAnsi="微软雅黑" w:eastAsia="微软雅黑" w:cs="微软雅黑"/>
                <w:b/>
                <w:bCs/>
                <w:color w:val="FF0000"/>
                <w:kern w:val="0"/>
                <w:sz w:val="21"/>
                <w:szCs w:val="21"/>
              </w:rPr>
              <w:t>【赠送凤凰古城凤凰 VIP 接驳车</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，这里被誉为远去 的家园，梦中的故乡，邂逅边城的灯火阑珊，品味独 特的梦里苗疆。游览被新西兰著名作家路易艾黎称赞为中国最 美丽的小城</w:t>
            </w:r>
            <w:r>
              <w:rPr>
                <w:rFonts w:hint="eastAsia" w:ascii="微软雅黑" w:hAnsi="微软雅黑" w:eastAsia="微软雅黑" w:cs="微软雅黑"/>
                <w:b/>
                <w:bCs/>
                <w:color w:val="FF0000"/>
                <w:kern w:val="0"/>
                <w:sz w:val="21"/>
                <w:szCs w:val="21"/>
              </w:rPr>
              <w:t>【凤凰古城</w:t>
            </w:r>
            <w:r>
              <w:rPr>
                <w:rFonts w:hint="eastAsia" w:ascii="微软雅黑" w:hAnsi="微软雅黑" w:eastAsia="微软雅黑" w:cs="微软雅黑"/>
                <w:b/>
                <w:bCs/>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，体验和感受凤凰古城的九大精华：一座青山抱古城、一泓沱水绕城过、一条红红石板 街、一道风雨古城墙、一座雄伟古城楼、一个美丽彩虹桥、一排小桥吊脚楼、一批闻名世界的人、一个国家级非遗 文化遗产。</w:t>
            </w:r>
            <w:r>
              <w:rPr>
                <w:rFonts w:hint="eastAsia" w:ascii="微软雅黑" w:hAnsi="微软雅黑" w:eastAsia="微软雅黑" w:cs="微软雅黑"/>
                <w:color w:val="000000"/>
                <w:sz w:val="21"/>
                <w:szCs w:val="21"/>
              </w:rPr>
              <w:t>在美丽的沱江两岸欣赏</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color w:val="000000"/>
                <w:sz w:val="21"/>
                <w:szCs w:val="21"/>
              </w:rPr>
              <w:t>，她是中国首个以苗族文化为故事线的夜游大作。以呈现苗族文化为核心，将国画、动漫、真人实拍、电影视听、实景搭建、夜游装置、光影设备等多种表现形式进行巧妙融合，感受灯火阑珊之凤凰，和烟雨凤凰！（如遇堵车、沱江水位过高或过低，大风暴雨等恶劣天气及特殊原因会停演不能正常观看，赠送项目无退费）</w:t>
            </w:r>
          </w:p>
          <w:p w14:paraId="0BF0EE8E">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b/>
                <w:bCs/>
                <w:kern w:val="0"/>
                <w:sz w:val="21"/>
                <w:szCs w:val="21"/>
              </w:rPr>
            </w:pPr>
            <w:r>
              <w:rPr>
                <w:rFonts w:hint="eastAsia" w:ascii="微软雅黑" w:hAnsi="微软雅黑" w:eastAsia="微软雅黑" w:cs="微软雅黑"/>
                <w:b/>
                <w:bCs/>
                <w:kern w:val="0"/>
                <w:sz w:val="21"/>
                <w:szCs w:val="21"/>
              </w:rPr>
              <w:t>●温馨提示：</w:t>
            </w:r>
          </w:p>
          <w:p w14:paraId="288501A3">
            <w:pPr>
              <w:keepNext w:val="0"/>
              <w:keepLines w:val="0"/>
              <w:pageBreakBefore w:val="0"/>
              <w:widowControl w:val="0"/>
              <w:kinsoku/>
              <w:wordWrap/>
              <w:overflowPunct/>
              <w:topLinePunct w:val="0"/>
              <w:autoSpaceDE/>
              <w:autoSpaceDN/>
              <w:bidi w:val="0"/>
              <w:adjustRightInd/>
              <w:spacing w:line="360" w:lineRule="exact"/>
              <w:ind w:firstLine="420" w:firstLineChars="200"/>
              <w:jc w:val="left"/>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1、</w:t>
            </w:r>
            <w:r>
              <w:rPr>
                <w:rFonts w:hint="eastAsia" w:ascii="微软雅黑" w:hAnsi="微软雅黑" w:eastAsia="微软雅黑" w:cs="微软雅黑"/>
                <w:color w:val="000000"/>
                <w:kern w:val="0"/>
                <w:sz w:val="21"/>
                <w:szCs w:val="21"/>
              </w:rPr>
              <w:t>天门山游览线路分为双索道Ａ，Ｂ，Ｃ三条线路以及单索道１,２线，最终以系统预约为准</w:t>
            </w:r>
            <w:r>
              <w:rPr>
                <w:rFonts w:hint="eastAsia" w:ascii="微软雅黑" w:hAnsi="微软雅黑" w:eastAsia="微软雅黑" w:cs="微软雅黑"/>
                <w:color w:val="000000"/>
                <w:kern w:val="0"/>
                <w:sz w:val="21"/>
                <w:szCs w:val="21"/>
                <w:lang w:eastAsia="zh-CN"/>
              </w:rPr>
              <w:t>。</w:t>
            </w:r>
          </w:p>
          <w:p w14:paraId="0E7A38E3">
            <w:pPr>
              <w:keepNext w:val="0"/>
              <w:keepLines w:val="0"/>
              <w:pageBreakBefore w:val="0"/>
              <w:widowControl w:val="0"/>
              <w:kinsoku/>
              <w:wordWrap/>
              <w:overflowPunct/>
              <w:topLinePunct w:val="0"/>
              <w:autoSpaceDE/>
              <w:autoSpaceDN/>
              <w:bidi w:val="0"/>
              <w:adjustRightInd/>
              <w:spacing w:line="360" w:lineRule="exact"/>
              <w:ind w:firstLine="420" w:firstLineChars="200"/>
              <w:textAlignment w:val="auto"/>
              <w:rPr>
                <w:rFonts w:hint="eastAsia" w:ascii="微软雅黑" w:hAnsi="微软雅黑" w:eastAsia="微软雅黑" w:cs="微软雅黑"/>
                <w:color w:val="000000"/>
                <w:kern w:val="0"/>
                <w:sz w:val="21"/>
                <w:szCs w:val="21"/>
                <w:lang w:eastAsia="zh-CN"/>
              </w:rPr>
            </w:pPr>
            <w:r>
              <w:rPr>
                <w:rFonts w:hint="eastAsia" w:ascii="微软雅黑" w:hAnsi="微软雅黑" w:eastAsia="微软雅黑" w:cs="微软雅黑"/>
                <w:color w:val="000000"/>
                <w:kern w:val="0"/>
                <w:sz w:val="21"/>
                <w:szCs w:val="21"/>
                <w:lang w:val="en-US" w:eastAsia="zh-CN"/>
              </w:rPr>
              <w:t>2、</w:t>
            </w:r>
            <w:r>
              <w:rPr>
                <w:rFonts w:hint="eastAsia" w:ascii="微软雅黑" w:hAnsi="微软雅黑" w:eastAsia="微软雅黑" w:cs="微软雅黑"/>
                <w:color w:val="000000"/>
                <w:kern w:val="0"/>
                <w:sz w:val="21"/>
                <w:szCs w:val="21"/>
              </w:rPr>
              <w:t>天门山需提前实名制支付预约门票，一旦预约，如取消需扣票损</w:t>
            </w:r>
            <w:r>
              <w:rPr>
                <w:rFonts w:hint="eastAsia" w:ascii="微软雅黑" w:hAnsi="微软雅黑" w:eastAsia="微软雅黑" w:cs="微软雅黑"/>
                <w:color w:val="000000"/>
                <w:kern w:val="0"/>
                <w:sz w:val="21"/>
                <w:szCs w:val="21"/>
                <w:lang w:eastAsia="zh-CN"/>
              </w:rPr>
              <w:t>。</w:t>
            </w:r>
          </w:p>
          <w:p w14:paraId="0BF38B3A">
            <w:pPr>
              <w:spacing w:line="360" w:lineRule="exact"/>
              <w:ind w:right="71" w:rightChars="34"/>
              <w:rPr>
                <w:rFonts w:hint="eastAsia" w:ascii="微软雅黑" w:hAnsi="微软雅黑" w:eastAsia="微软雅黑" w:cs="微软雅黑"/>
                <w:sz w:val="21"/>
                <w:szCs w:val="22"/>
                <w:lang w:val="en-US" w:eastAsia="zh-CN" w:bidi="zh-CN"/>
              </w:rPr>
            </w:pPr>
          </w:p>
        </w:tc>
      </w:tr>
      <w:tr w14:paraId="32D2B05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799" w:hRule="atLeast"/>
        </w:trPr>
        <w:tc>
          <w:tcPr>
            <w:tcW w:w="11628" w:type="dxa"/>
            <w:gridSpan w:val="6"/>
            <w:tcBorders>
              <w:top w:val="single" w:color="auto" w:sz="4" w:space="0"/>
              <w:left w:val="single" w:color="auto" w:sz="4" w:space="0"/>
              <w:bottom w:val="single" w:color="auto" w:sz="4" w:space="0"/>
              <w:right w:val="single" w:color="auto" w:sz="4" w:space="0"/>
            </w:tcBorders>
          </w:tcPr>
          <w:p w14:paraId="43CFAA54">
            <w:pPr>
              <w:spacing w:line="360" w:lineRule="exact"/>
              <w:ind w:right="71" w:rightChars="34"/>
              <w:rPr>
                <w:rFonts w:hint="eastAsia" w:ascii="微软雅黑" w:hAnsi="微软雅黑" w:eastAsia="微软雅黑" w:cs="微软雅黑"/>
                <w:sz w:val="21"/>
                <w:szCs w:val="22"/>
                <w:lang w:val="en-US" w:eastAsia="zh-CN" w:bidi="zh-CN"/>
              </w:rPr>
            </w:pPr>
            <w:r>
              <w:rPr>
                <w:rFonts w:ascii="宋体" w:hAnsi="宋体" w:eastAsia="宋体" w:cs="宋体"/>
                <w:sz w:val="24"/>
                <w:szCs w:val="24"/>
              </w:rPr>
              <w:drawing>
                <wp:anchor distT="0" distB="0" distL="114300" distR="114300" simplePos="0" relativeHeight="251664384" behindDoc="0" locked="0" layoutInCell="1" allowOverlap="1">
                  <wp:simplePos x="0" y="0"/>
                  <wp:positionH relativeFrom="column">
                    <wp:posOffset>2484120</wp:posOffset>
                  </wp:positionH>
                  <wp:positionV relativeFrom="paragraph">
                    <wp:posOffset>635</wp:posOffset>
                  </wp:positionV>
                  <wp:extent cx="2408555" cy="1713865"/>
                  <wp:effectExtent l="0" t="0" r="14605" b="8255"/>
                  <wp:wrapTopAndBottom/>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8"/>
                          <a:stretch>
                            <a:fillRect/>
                          </a:stretch>
                        </pic:blipFill>
                        <pic:spPr>
                          <a:xfrm>
                            <a:off x="0" y="0"/>
                            <a:ext cx="2408555" cy="1713865"/>
                          </a:xfrm>
                          <a:prstGeom prst="rect">
                            <a:avLst/>
                          </a:prstGeom>
                          <a:noFill/>
                          <a:ln w="9525">
                            <a:noFill/>
                          </a:ln>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2336" behindDoc="0" locked="0" layoutInCell="1" allowOverlap="1">
                  <wp:simplePos x="0" y="0"/>
                  <wp:positionH relativeFrom="column">
                    <wp:posOffset>4814570</wp:posOffset>
                  </wp:positionH>
                  <wp:positionV relativeFrom="paragraph">
                    <wp:posOffset>-8255</wp:posOffset>
                  </wp:positionV>
                  <wp:extent cx="2383790" cy="1713230"/>
                  <wp:effectExtent l="0" t="0" r="16510" b="1270"/>
                  <wp:wrapTopAndBottom/>
                  <wp:docPr id="15" name="图片 15" descr="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凤凰"/>
                          <pic:cNvPicPr>
                            <a:picLocks noChangeAspect="1"/>
                          </pic:cNvPicPr>
                        </pic:nvPicPr>
                        <pic:blipFill>
                          <a:blip r:embed="rId29"/>
                          <a:stretch>
                            <a:fillRect/>
                          </a:stretch>
                        </pic:blipFill>
                        <pic:spPr>
                          <a:xfrm>
                            <a:off x="0" y="0"/>
                            <a:ext cx="2383790" cy="1713230"/>
                          </a:xfrm>
                          <a:prstGeom prst="rect">
                            <a:avLst/>
                          </a:prstGeom>
                        </pic:spPr>
                      </pic:pic>
                    </a:graphicData>
                  </a:graphic>
                </wp:anchor>
              </w:drawing>
            </w:r>
            <w:r>
              <w:rPr>
                <w:rFonts w:hint="eastAsia" w:ascii="微软雅黑" w:hAnsi="微软雅黑" w:eastAsia="微软雅黑" w:cs="微软雅黑"/>
                <w:sz w:val="21"/>
                <w:szCs w:val="22"/>
                <w:lang w:val="en-US" w:eastAsia="zh-CN" w:bidi="zh-CN"/>
              </w:rPr>
              <w:drawing>
                <wp:anchor distT="0" distB="0" distL="114300" distR="114300" simplePos="0" relativeHeight="251661312" behindDoc="0" locked="0" layoutInCell="1" allowOverlap="1">
                  <wp:simplePos x="0" y="0"/>
                  <wp:positionH relativeFrom="column">
                    <wp:posOffset>-50800</wp:posOffset>
                  </wp:positionH>
                  <wp:positionV relativeFrom="paragraph">
                    <wp:posOffset>13335</wp:posOffset>
                  </wp:positionV>
                  <wp:extent cx="2550160" cy="1701800"/>
                  <wp:effectExtent l="0" t="0" r="2540" b="12700"/>
                  <wp:wrapTopAndBottom/>
                  <wp:docPr id="13" name="图片 13" descr="天门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天门洞"/>
                          <pic:cNvPicPr>
                            <a:picLocks noChangeAspect="1"/>
                          </pic:cNvPicPr>
                        </pic:nvPicPr>
                        <pic:blipFill>
                          <a:blip r:embed="rId30"/>
                          <a:stretch>
                            <a:fillRect/>
                          </a:stretch>
                        </pic:blipFill>
                        <pic:spPr>
                          <a:xfrm>
                            <a:off x="0" y="0"/>
                            <a:ext cx="2550160" cy="1701800"/>
                          </a:xfrm>
                          <a:prstGeom prst="rect">
                            <a:avLst/>
                          </a:prstGeom>
                        </pic:spPr>
                      </pic:pic>
                    </a:graphicData>
                  </a:graphic>
                </wp:anchor>
              </w:drawing>
            </w:r>
          </w:p>
        </w:tc>
      </w:tr>
      <w:tr w14:paraId="4AB81D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54CEDC98">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6669732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58B6F50">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3F162152">
            <w:pPr>
              <w:pStyle w:val="2"/>
              <w:ind w:left="0" w:leftChars="0" w:firstLine="0" w:firstLineChars="0"/>
              <w:rPr>
                <w:rFonts w:hint="eastAsia" w:ascii="微软雅黑" w:hAnsi="微软雅黑" w:eastAsia="微软雅黑" w:cs="微软雅黑"/>
                <w:b/>
                <w:color w:val="00B0F0"/>
                <w:sz w:val="18"/>
                <w:lang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p w14:paraId="2F7E6D7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lang w:val="en-US" w:eastAsia="zh-CN"/>
              </w:rPr>
              <w:t>4、芙蓉镇为敞开式民用商业区，特色商品导游义务介绍，旅游者购物行为为自主选择，旅行社不接受芙蓉镇区域旅游者购物方面的投诉。</w:t>
            </w:r>
          </w:p>
        </w:tc>
      </w:tr>
      <w:tr w14:paraId="637AF53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6FDF29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宋体"/>
                <w:b/>
                <w:bCs/>
                <w:color w:val="FFFFFF" w:themeColor="background1"/>
                <w:kern w:val="0"/>
                <w:sz w:val="24"/>
                <w14:textFill>
                  <w14:solidFill>
                    <w14:schemeClr w14:val="bg1"/>
                  </w14:solidFill>
                </w14:textFill>
              </w:rPr>
              <w:t>凤凰古城</w:t>
            </w:r>
            <w:r>
              <w:rPr>
                <w:rFonts w:hint="eastAsia" w:ascii="微软雅黑" w:hAnsi="微软雅黑" w:eastAsia="微软雅黑" w:cs="宋体"/>
                <w:b/>
                <w:bCs/>
                <w:color w:val="FFFFFF" w:themeColor="background1"/>
                <w:kern w:val="0"/>
                <w:sz w:val="24"/>
                <w:lang w:val="en-US" w:eastAsia="zh-CN"/>
                <w14:textFill>
                  <w14:solidFill>
                    <w14:schemeClr w14:val="bg1"/>
                  </w14:solidFill>
                </w14:textFill>
              </w:rPr>
              <w:t xml:space="preserve"> </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沈从文故居</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lang w:eastAsia="zh-CN"/>
                <w14:textFill>
                  <w14:solidFill>
                    <w14:schemeClr w14:val="bg1"/>
                  </w14:solidFill>
                </w14:textFill>
              </w:rPr>
              <w:t>沱江泛舟</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万寿宫</w:t>
            </w:r>
            <w:r>
              <w:rPr>
                <w:rFonts w:hint="eastAsia" w:ascii="微软雅黑" w:hAnsi="微软雅黑" w:eastAsia="微软雅黑" w:cs="宋体"/>
                <w:b/>
                <w:bCs/>
                <w:color w:val="FFFFFF" w:themeColor="background1"/>
                <w:kern w:val="0"/>
                <w:sz w:val="24"/>
                <w14:textFill>
                  <w14:solidFill>
                    <w14:schemeClr w14:val="bg1"/>
                  </w14:solidFill>
                </w14:textFill>
              </w:rPr>
              <w:sym w:font="Wingdings" w:char="00D8"/>
            </w:r>
            <w:r>
              <w:rPr>
                <w:rFonts w:hint="eastAsia" w:ascii="微软雅黑" w:hAnsi="微软雅黑" w:eastAsia="微软雅黑" w:cs="宋体"/>
                <w:b/>
                <w:bCs/>
                <w:color w:val="FFFFFF" w:themeColor="background1"/>
                <w:kern w:val="0"/>
                <w:sz w:val="24"/>
                <w14:textFill>
                  <w14:solidFill>
                    <w14:schemeClr w14:val="bg1"/>
                  </w14:solidFill>
                </w14:textFill>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5A33AF8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E04D50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eastAsia="宋体"/>
                <w:sz w:val="21"/>
                <w:szCs w:val="21"/>
                <w:lang w:eastAsia="zh-CN"/>
              </w:rPr>
            </w:pPr>
            <w:r>
              <w:rPr>
                <w:rFonts w:hint="eastAsia" w:ascii="微软雅黑" w:hAnsi="微软雅黑" w:eastAsia="微软雅黑" w:cs="宋体"/>
                <w:color w:val="000000"/>
                <w:sz w:val="21"/>
                <w:szCs w:val="21"/>
              </w:rPr>
              <w:t>早餐后，游览</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宋体"/>
                <w:color w:val="000000"/>
                <w:sz w:val="21"/>
                <w:szCs w:val="21"/>
                <w:lang w:val="en-US" w:eastAsia="zh-CN"/>
              </w:rPr>
              <w:t>，</w:t>
            </w:r>
            <w:r>
              <w:rPr>
                <w:rFonts w:hint="eastAsia" w:ascii="微软雅黑" w:hAnsi="微软雅黑" w:eastAsia="微软雅黑" w:cs="宋体"/>
                <w:color w:val="000000"/>
                <w:sz w:val="21"/>
                <w:szCs w:val="21"/>
              </w:rPr>
              <w:t>游览</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宋体"/>
                <w:color w:val="000000"/>
                <w:sz w:val="21"/>
                <w:szCs w:val="21"/>
              </w:rPr>
              <w:t>，世界乡土文学之父沈从文先生的故居，是凤凰古城文化内涵深厚而最具特色的古建筑之一。乘坐</w:t>
            </w:r>
            <w:r>
              <w:rPr>
                <w:rFonts w:hint="eastAsia" w:ascii="微软雅黑" w:hAnsi="微软雅黑" w:eastAsia="微软雅黑" w:cs="微软雅黑"/>
                <w:b/>
                <w:bCs/>
                <w:color w:val="FF0000"/>
                <w:sz w:val="21"/>
                <w:szCs w:val="21"/>
                <w:lang w:val="en-US" w:eastAsia="zh-CN"/>
              </w:rPr>
              <w:t>《沱江泛舟》</w:t>
            </w:r>
            <w:r>
              <w:rPr>
                <w:rFonts w:hint="eastAsia" w:ascii="微软雅黑" w:hAnsi="微软雅黑" w:eastAsia="微软雅黑" w:cs="宋体"/>
                <w:color w:val="000000"/>
                <w:sz w:val="21"/>
                <w:szCs w:val="21"/>
              </w:rPr>
              <w:t>（如遇官方原因无法乘坐无退费），缓缓行驶沱江上，你会看到一脉脉漫开的水纹，一下下捣衣的女子，一摆摆过桥的行人，一柱柱升起的炊烟，都是对古城的唐突了。游览</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宋体"/>
                <w:color w:val="000000"/>
                <w:sz w:val="21"/>
                <w:szCs w:val="21"/>
              </w:rPr>
              <w:t>，她设计精巧独特。后可自由感受体验凤凰古城的精华，在古城内可免费品尝着沁人心脾的苗家姜糖，参观非物质文化民俗一条街，湘西人办年货办嫁妆的地方，最地道的湘西味，应有尽有的湘西物产，传递湘西文化，打造工匠精神的“湘西苗族银饰锻造工作站”等众多纯手工工艺品和美食街，欣赏一代国画大师黄永玉的封山之作，绝世佳品——</w:t>
            </w:r>
            <w:r>
              <w:rPr>
                <w:rFonts w:hint="eastAsia" w:ascii="微软雅黑" w:hAnsi="微软雅黑" w:eastAsia="微软雅黑" w:cs="宋体"/>
                <w:color w:val="000000"/>
                <w:sz w:val="21"/>
                <w:szCs w:val="21"/>
                <w:lang w:val="en-US" w:eastAsia="zh-CN"/>
              </w:rPr>
              <w:t>《犟牛座》</w:t>
            </w:r>
            <w:r>
              <w:rPr>
                <w:rFonts w:hint="eastAsia" w:ascii="微软雅黑" w:hAnsi="微软雅黑" w:eastAsia="微软雅黑" w:cs="宋体"/>
                <w:color w:val="000000"/>
                <w:sz w:val="21"/>
                <w:szCs w:val="21"/>
              </w:rPr>
              <w:t>。</w:t>
            </w:r>
          </w:p>
          <w:p w14:paraId="0D5489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kern w:val="0"/>
                <w:sz w:val="21"/>
                <w:szCs w:val="21"/>
                <w:lang w:eastAsia="zh-CN"/>
              </w:rPr>
            </w:pPr>
            <w:r>
              <w:rPr>
                <w:rFonts w:hint="eastAsia" w:ascii="微软雅黑" w:hAnsi="微软雅黑" w:eastAsia="微软雅黑" w:cs="微软雅黑"/>
                <w:color w:val="000000" w:themeColor="text1"/>
                <w:kern w:val="0"/>
                <w:sz w:val="21"/>
                <w:szCs w:val="21"/>
                <w14:textFill>
                  <w14:solidFill>
                    <w14:schemeClr w14:val="tx1"/>
                  </w14:solidFill>
                </w14:textFill>
              </w:rPr>
              <w:t>下午赴文化艺术之都</w:t>
            </w:r>
            <w:r>
              <w:rPr>
                <w:rFonts w:hint="eastAsia" w:ascii="微软雅黑" w:hAnsi="微软雅黑" w:eastAsia="微软雅黑" w:cs="微软雅黑"/>
                <w:b/>
                <w:bCs/>
                <w:color w:val="FF0000"/>
                <w:kern w:val="0"/>
                <w:sz w:val="21"/>
                <w:szCs w:val="21"/>
              </w:rPr>
              <w:t>【长沙】</w:t>
            </w: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kern w:val="0"/>
                <w:sz w:val="21"/>
                <w:szCs w:val="21"/>
              </w:rPr>
              <w:t>约425KM,车程6小时10分）</w:t>
            </w:r>
            <w:r>
              <w:rPr>
                <w:rFonts w:hint="eastAsia" w:ascii="微软雅黑" w:hAnsi="微软雅黑" w:eastAsia="微软雅黑"/>
                <w:color w:val="604A7B" w:themeColor="accent4" w:themeShade="BF"/>
                <w:sz w:val="21"/>
                <w:szCs w:val="21"/>
              </w:rPr>
              <w:t>（或直接怀化铜仁送站（拼车费用自理）建议15:00以后的返程时间。</w:t>
            </w:r>
            <w:r>
              <w:rPr>
                <w:rFonts w:hint="eastAsia" w:ascii="微软雅黑" w:hAnsi="微软雅黑" w:eastAsia="微软雅黑" w:cs="微软雅黑"/>
                <w:kern w:val="0"/>
                <w:sz w:val="21"/>
                <w:szCs w:val="21"/>
              </w:rPr>
              <w:t>入住酒店</w:t>
            </w:r>
            <w:r>
              <w:rPr>
                <w:rFonts w:hint="eastAsia" w:ascii="微软雅黑" w:hAnsi="微软雅黑" w:eastAsia="微软雅黑" w:cs="微软雅黑"/>
                <w:kern w:val="0"/>
                <w:sz w:val="21"/>
                <w:szCs w:val="21"/>
                <w:lang w:eastAsia="zh-CN"/>
              </w:rPr>
              <w:t>。</w:t>
            </w:r>
          </w:p>
          <w:p w14:paraId="7015D9C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bCs/>
                <w:color w:val="00B0F0"/>
                <w:kern w:val="0"/>
                <w:sz w:val="21"/>
                <w:szCs w:val="21"/>
              </w:rPr>
            </w:pPr>
            <w:r>
              <w:rPr>
                <w:rFonts w:hint="eastAsia" w:ascii="微软雅黑" w:hAnsi="微软雅黑" w:eastAsia="微软雅黑" w:cs="微软雅黑"/>
                <w:b/>
                <w:bCs/>
                <w:color w:val="00B0F0"/>
                <w:kern w:val="0"/>
                <w:sz w:val="21"/>
                <w:szCs w:val="21"/>
              </w:rPr>
              <w:t>●温馨提示：</w:t>
            </w:r>
          </w:p>
          <w:p w14:paraId="2A15150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color w:val="00B0F0"/>
                <w:kern w:val="0"/>
                <w:sz w:val="21"/>
                <w:szCs w:val="21"/>
              </w:rPr>
            </w:pPr>
            <w:r>
              <w:rPr>
                <w:rFonts w:hint="eastAsia" w:ascii="微软雅黑" w:hAnsi="微软雅黑" w:eastAsia="微软雅黑" w:cs="微软雅黑"/>
                <w:color w:val="00B0F0"/>
                <w:kern w:val="0"/>
                <w:sz w:val="21"/>
                <w:szCs w:val="21"/>
              </w:rPr>
              <w:t>1、2016年4月10日开始，凤凰古城取消围城强制购票，客人可在古城自由参观</w:t>
            </w:r>
          </w:p>
          <w:p w14:paraId="2AA8B217">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00B0F0"/>
                <w:kern w:val="0"/>
                <w:sz w:val="21"/>
                <w:szCs w:val="21"/>
              </w:rPr>
              <w:t>2、凤凰古城为敞开式民用商业区，银饰、牛角梳、蜡染、当地小吃等特色商品导游义务介绍，旅游者购物行为为自主选择，旅行社不接受凤凰区域旅游者购物方面的投诉。</w:t>
            </w:r>
          </w:p>
        </w:tc>
      </w:tr>
      <w:tr w14:paraId="3421AC1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A0D30AD">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3D4EA86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54A0062">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16964D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4F907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E06F3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95407BC">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F7C5A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B5B89B">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7239264C">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1、</w:t>
            </w:r>
            <w:r>
              <w:rPr>
                <w:rFonts w:hint="eastAsia" w:ascii="微软雅黑" w:hAnsi="微软雅黑" w:eastAsia="微软雅黑" w:cs="微软雅黑"/>
                <w:b/>
                <w:bCs/>
                <w:sz w:val="21"/>
                <w:szCs w:val="21"/>
              </w:rPr>
              <w:t>门票：</w:t>
            </w:r>
            <w:r>
              <w:rPr>
                <w:rFonts w:hint="eastAsia" w:ascii="微软雅黑" w:hAnsi="微软雅黑" w:eastAsia="微软雅黑" w:cs="微软雅黑"/>
                <w:sz w:val="21"/>
                <w:szCs w:val="21"/>
              </w:rPr>
              <w:t>行程中所列景点首道大门票；为旅行社协议价无任何优免退费；行程中所列小交通均为赠送，无优无免</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均无退费</w:t>
            </w:r>
            <w:r>
              <w:rPr>
                <w:rFonts w:hint="eastAsia" w:ascii="微软雅黑" w:hAnsi="微软雅黑" w:eastAsia="微软雅黑" w:cs="微软雅黑"/>
                <w:sz w:val="21"/>
                <w:szCs w:val="21"/>
                <w:lang w:eastAsia="zh-CN"/>
              </w:rPr>
              <w:t>。</w:t>
            </w:r>
          </w:p>
          <w:p w14:paraId="2402A5EB">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2、住宿：</w:t>
            </w:r>
            <w:r>
              <w:rPr>
                <w:rFonts w:hint="eastAsia" w:ascii="微软雅黑" w:hAnsi="微软雅黑" w:eastAsia="微软雅黑" w:cs="微软雅黑"/>
                <w:sz w:val="21"/>
                <w:szCs w:val="21"/>
                <w:lang w:eastAsia="zh-CN"/>
              </w:rPr>
              <w:t>全程</w:t>
            </w:r>
            <w:r>
              <w:rPr>
                <w:rFonts w:hint="eastAsia" w:ascii="微软雅黑" w:hAnsi="微软雅黑" w:eastAsia="微软雅黑" w:cs="微软雅黑"/>
                <w:sz w:val="21"/>
                <w:szCs w:val="21"/>
                <w:lang w:val="en-US" w:eastAsia="zh-CN"/>
              </w:rPr>
              <w:t>5晚</w:t>
            </w:r>
            <w:r>
              <w:rPr>
                <w:rFonts w:hint="eastAsia" w:ascii="微软雅黑" w:hAnsi="微软雅黑" w:eastAsia="微软雅黑" w:cs="微软雅黑"/>
                <w:sz w:val="21"/>
                <w:szCs w:val="21"/>
                <w:lang w:eastAsia="zh-CN"/>
              </w:rPr>
              <w:t>准四标准酒店（自然单间请自行补单房差或安排三人间或加床，指定酒店如遇大型接待不能如期入住，将安排同级酒店）。</w:t>
            </w:r>
          </w:p>
          <w:p w14:paraId="0AE0179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3、</w:t>
            </w:r>
            <w:r>
              <w:rPr>
                <w:rFonts w:hint="eastAsia" w:ascii="微软雅黑" w:hAnsi="微软雅黑" w:eastAsia="微软雅黑" w:cs="微软雅黑"/>
                <w:b/>
                <w:bCs/>
                <w:sz w:val="21"/>
                <w:szCs w:val="21"/>
                <w:lang w:eastAsia="zh-CN"/>
              </w:rPr>
              <w:t>餐费：</w:t>
            </w:r>
            <w:r>
              <w:rPr>
                <w:rFonts w:hint="eastAsia" w:ascii="微软雅黑" w:hAnsi="微软雅黑" w:eastAsia="微软雅黑" w:cs="微软雅黑"/>
                <w:sz w:val="21"/>
                <w:szCs w:val="21"/>
                <w:lang w:eastAsia="zh-CN"/>
              </w:rPr>
              <w:t xml:space="preserve">5 早 5 正餐，正餐 </w:t>
            </w:r>
            <w:r>
              <w:rPr>
                <w:rFonts w:hint="eastAsia" w:ascii="微软雅黑" w:hAnsi="微软雅黑" w:eastAsia="微软雅黑" w:cs="微软雅黑"/>
                <w:sz w:val="21"/>
                <w:szCs w:val="21"/>
                <w:lang w:val="en-US" w:eastAsia="zh-CN"/>
              </w:rPr>
              <w:t>30</w:t>
            </w:r>
            <w:r>
              <w:rPr>
                <w:rFonts w:hint="eastAsia" w:ascii="微软雅黑" w:hAnsi="微软雅黑" w:eastAsia="微软雅黑" w:cs="微软雅黑"/>
                <w:sz w:val="21"/>
                <w:szCs w:val="21"/>
                <w:lang w:eastAsia="zh-CN"/>
              </w:rPr>
              <w:t>元/餐/人正餐 10 人/桌 10 菜/汤，特色餐除外（餐不用则不退）。</w:t>
            </w:r>
          </w:p>
          <w:p w14:paraId="0F6921D6">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bCs/>
                <w:sz w:val="21"/>
                <w:szCs w:val="21"/>
                <w:lang w:eastAsia="zh-CN"/>
              </w:rPr>
              <w:t>交通：</w:t>
            </w:r>
            <w:r>
              <w:rPr>
                <w:rFonts w:hint="eastAsia" w:ascii="微软雅黑" w:hAnsi="微软雅黑" w:eastAsia="微软雅黑" w:cs="微软雅黑"/>
                <w:sz w:val="21"/>
                <w:szCs w:val="21"/>
                <w:lang w:eastAsia="zh-CN"/>
              </w:rPr>
              <w:t>精选 VIP2+1 豪华高端旅游车（陆地航班）特别提示：如张家界2+1 VlP 旅行车资源紧张不够用，则更改为常规旅行车（保证 25%空坐率）请理解。</w:t>
            </w:r>
          </w:p>
          <w:p w14:paraId="17DD957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1"/>
                <w:szCs w:val="21"/>
                <w:lang w:val="en-US" w:eastAsia="zh-CN"/>
              </w:rPr>
              <w:t>5、</w:t>
            </w:r>
            <w:r>
              <w:rPr>
                <w:rFonts w:hint="eastAsia" w:ascii="微软雅黑" w:hAnsi="微软雅黑" w:eastAsia="微软雅黑" w:cs="微软雅黑"/>
                <w:b/>
                <w:bCs/>
                <w:sz w:val="21"/>
                <w:szCs w:val="21"/>
                <w:lang w:eastAsia="zh-CN"/>
              </w:rPr>
              <w:t>导服：</w:t>
            </w:r>
            <w:r>
              <w:rPr>
                <w:rFonts w:hint="eastAsia" w:ascii="微软雅黑" w:hAnsi="微软雅黑" w:eastAsia="微软雅黑" w:cs="微软雅黑"/>
                <w:sz w:val="21"/>
                <w:szCs w:val="21"/>
                <w:lang w:eastAsia="zh-CN"/>
              </w:rPr>
              <w:t>精选我社形象+幽默+内涵+耐心服务</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eastAsia="zh-CN"/>
              </w:rPr>
              <w:t>优秀导游讲解。</w:t>
            </w:r>
          </w:p>
          <w:p w14:paraId="33C01C5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textAlignment w:val="auto"/>
              <w:rPr>
                <w:rFonts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6、</w:t>
            </w:r>
            <w:r>
              <w:rPr>
                <w:rFonts w:hint="eastAsia" w:ascii="微软雅黑" w:hAnsi="微软雅黑" w:eastAsia="微软雅黑" w:cs="微软雅黑"/>
                <w:b/>
                <w:bCs/>
                <w:sz w:val="21"/>
                <w:szCs w:val="21"/>
              </w:rPr>
              <w:t>保险：</w:t>
            </w:r>
            <w:r>
              <w:rPr>
                <w:rFonts w:hint="eastAsia" w:ascii="微软雅黑" w:hAnsi="微软雅黑" w:eastAsia="微软雅黑" w:cs="微软雅黑"/>
                <w:sz w:val="21"/>
                <w:szCs w:val="21"/>
              </w:rPr>
              <w:t>含旅行社责任险（理赔最终解释权归保险公司所有）</w:t>
            </w:r>
            <w:r>
              <w:rPr>
                <w:rFonts w:hint="eastAsia" w:ascii="微软雅黑" w:hAnsi="微软雅黑" w:eastAsia="微软雅黑" w:cs="微软雅黑"/>
                <w:sz w:val="21"/>
                <w:szCs w:val="21"/>
                <w:lang w:eastAsia="zh-CN"/>
              </w:rPr>
              <w:t>。</w:t>
            </w:r>
          </w:p>
        </w:tc>
      </w:tr>
      <w:tr w14:paraId="18C17BB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tcPr>
          <w:p w14:paraId="2D758CB9">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05946AF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1、儿童价格执行标准：身高1.2米以下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周岁以下</w:t>
            </w:r>
          </w:p>
          <w:p w14:paraId="6575138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2、儿童价格包含：当地接待车位费、全程半餐费、导游服务费</w:t>
            </w:r>
          </w:p>
          <w:p w14:paraId="6DF717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3、儿童价格不含：住宿、门票；若产生费用现付当地导游；儿童不含成人报价中的赠送门票项目</w:t>
            </w:r>
          </w:p>
          <w:p w14:paraId="4411241A">
            <w:pPr>
              <w:pStyle w:val="2"/>
              <w:ind w:left="0" w:leftChars="0" w:firstLine="0" w:firstLineChars="0"/>
              <w:rPr>
                <w:rFonts w:hint="default" w:eastAsia="微软雅黑"/>
                <w:lang w:val="en-US" w:eastAsia="zh-CN"/>
              </w:rPr>
            </w:pPr>
            <w:r>
              <w:rPr>
                <w:rFonts w:hint="eastAsia" w:ascii="微软雅黑" w:hAnsi="微软雅黑" w:eastAsia="微软雅黑" w:cs="微软雅黑"/>
                <w:b/>
                <w:bCs/>
                <w:color w:val="FF0000"/>
                <w:sz w:val="21"/>
                <w:szCs w:val="21"/>
                <w:lang w:val="en-US" w:eastAsia="zh-CN"/>
              </w:rPr>
              <w:t>14周岁以下必须按照儿童操作</w:t>
            </w:r>
          </w:p>
        </w:tc>
      </w:tr>
      <w:tr w14:paraId="64C4134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6CCD37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☆☆费用不含☆☆</w:t>
            </w:r>
          </w:p>
          <w:p w14:paraId="38C1100A">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b/>
                <w:bCs/>
                <w:color w:val="000000"/>
                <w:sz w:val="21"/>
                <w:szCs w:val="21"/>
                <w:lang w:val="en-US" w:eastAsia="zh-CN"/>
              </w:rPr>
              <w:t>1、</w:t>
            </w:r>
            <w:r>
              <w:rPr>
                <w:rFonts w:hint="eastAsia" w:ascii="微软雅黑" w:hAnsi="微软雅黑" w:eastAsia="微软雅黑" w:cs="微软雅黑"/>
                <w:b/>
                <w:bCs/>
                <w:color w:val="000000"/>
                <w:sz w:val="21"/>
                <w:szCs w:val="21"/>
              </w:rPr>
              <w:t>单房差：</w:t>
            </w:r>
            <w:r>
              <w:rPr>
                <w:rFonts w:hint="eastAsia" w:ascii="微软雅黑" w:hAnsi="微软雅黑" w:eastAsia="微软雅黑" w:cs="微软雅黑"/>
                <w:color w:val="000000"/>
                <w:sz w:val="21"/>
                <w:szCs w:val="21"/>
              </w:rPr>
              <w:t>单人报名出游，我社会优先安排同性拼住，如拼不上房或不愿拼房的情况下请补单房差以享用整个房间</w:t>
            </w:r>
            <w:r>
              <w:rPr>
                <w:rFonts w:hint="eastAsia" w:ascii="微软雅黑" w:hAnsi="微软雅黑" w:eastAsia="微软雅黑" w:cs="微软雅黑"/>
                <w:color w:val="000000"/>
                <w:sz w:val="21"/>
                <w:szCs w:val="21"/>
                <w:lang w:eastAsia="zh-CN"/>
              </w:rPr>
              <w:t>。</w:t>
            </w:r>
          </w:p>
          <w:p w14:paraId="2A4BA2F1">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right="166" w:rightChars="79"/>
              <w:textAlignment w:val="auto"/>
            </w:pPr>
            <w:r>
              <w:rPr>
                <w:rFonts w:hint="eastAsia" w:ascii="微软雅黑" w:hAnsi="微软雅黑" w:eastAsia="微软雅黑" w:cs="微软雅黑"/>
                <w:b/>
                <w:bCs/>
                <w:sz w:val="21"/>
                <w:szCs w:val="21"/>
                <w:lang w:val="en-US" w:eastAsia="zh-CN"/>
              </w:rPr>
              <w:t>2、其他：</w:t>
            </w:r>
            <w:r>
              <w:rPr>
                <w:rFonts w:hint="eastAsia" w:ascii="微软雅黑" w:hAnsi="微软雅黑" w:eastAsia="微软雅黑" w:cs="微软雅黑"/>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r>
              <w:rPr>
                <w:rFonts w:hint="eastAsia" w:ascii="微软雅黑" w:hAnsi="微软雅黑" w:eastAsia="微软雅黑" w:cs="微软雅黑"/>
                <w:sz w:val="21"/>
                <w:szCs w:val="21"/>
                <w:lang w:eastAsia="zh-CN"/>
              </w:rPr>
              <w:t>。</w:t>
            </w:r>
          </w:p>
        </w:tc>
      </w:tr>
      <w:tr w14:paraId="7AE98D9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EC482E2">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02E32576">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rPr>
              <w:t>长</w:t>
            </w:r>
            <w:r>
              <w:rPr>
                <w:rFonts w:hint="eastAsia" w:ascii="微软雅黑" w:hAnsi="微软雅黑" w:eastAsia="微软雅黑" w:cs="Times New Roman"/>
                <w:kern w:val="0"/>
                <w:sz w:val="21"/>
                <w:szCs w:val="21"/>
                <w:lang w:val="en-US" w:eastAsia="zh-CN"/>
              </w:rPr>
              <w:t xml:space="preserve">  </w:t>
            </w:r>
            <w:r>
              <w:rPr>
                <w:rFonts w:hint="eastAsia" w:ascii="微软雅黑" w:hAnsi="微软雅黑" w:eastAsia="微软雅黑" w:cs="Times New Roman"/>
                <w:kern w:val="0"/>
                <w:sz w:val="21"/>
                <w:szCs w:val="21"/>
              </w:rPr>
              <w:t>沙：维居金叶神农、金豪</w:t>
            </w:r>
            <w:r>
              <w:rPr>
                <w:rFonts w:hint="eastAsia" w:ascii="微软雅黑" w:hAnsi="微软雅黑" w:eastAsia="微软雅黑" w:cs="Times New Roman"/>
                <w:kern w:val="0"/>
                <w:sz w:val="21"/>
                <w:szCs w:val="21"/>
                <w:lang w:eastAsia="zh-CN"/>
              </w:rPr>
              <w:t>（阿弥岭地铁站店）</w:t>
            </w:r>
            <w:r>
              <w:rPr>
                <w:rFonts w:hint="eastAsia" w:ascii="微软雅黑" w:hAnsi="微软雅黑" w:eastAsia="微软雅黑" w:cs="Times New Roman"/>
                <w:kern w:val="0"/>
                <w:sz w:val="21"/>
                <w:szCs w:val="21"/>
              </w:rPr>
              <w:t>、</w:t>
            </w:r>
            <w:r>
              <w:rPr>
                <w:rFonts w:hint="eastAsia" w:ascii="微软雅黑" w:hAnsi="微软雅黑" w:eastAsia="微软雅黑" w:cs="Times New Roman"/>
                <w:kern w:val="0"/>
                <w:sz w:val="21"/>
                <w:szCs w:val="21"/>
                <w:lang w:eastAsia="zh-CN"/>
              </w:rPr>
              <w:t>君都云程、楠庭、嘉玺</w:t>
            </w:r>
            <w:r>
              <w:rPr>
                <w:rFonts w:hint="eastAsia" w:ascii="微软雅黑" w:hAnsi="微软雅黑" w:eastAsia="微软雅黑" w:cs="Times New Roman"/>
                <w:kern w:val="0"/>
                <w:sz w:val="21"/>
                <w:szCs w:val="21"/>
              </w:rPr>
              <w:t xml:space="preserve">或同级； </w:t>
            </w:r>
          </w:p>
          <w:p w14:paraId="33FE978E">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Times New Roman"/>
                <w:kern w:val="0"/>
                <w:sz w:val="21"/>
                <w:szCs w:val="21"/>
              </w:rPr>
            </w:pPr>
            <w:r>
              <w:rPr>
                <w:rFonts w:hint="eastAsia" w:ascii="微软雅黑" w:hAnsi="微软雅黑" w:eastAsia="微软雅黑" w:cs="Times New Roman"/>
                <w:kern w:val="0"/>
                <w:sz w:val="21"/>
                <w:szCs w:val="21"/>
                <w:lang w:eastAsia="zh-CN"/>
              </w:rPr>
              <w:t>张家界</w:t>
            </w:r>
            <w:r>
              <w:rPr>
                <w:rFonts w:hint="eastAsia" w:ascii="微软雅黑" w:hAnsi="微软雅黑" w:eastAsia="微软雅黑" w:cs="Times New Roman"/>
                <w:kern w:val="0"/>
                <w:sz w:val="21"/>
                <w:szCs w:val="21"/>
              </w:rPr>
              <w:t>：山水庭院、港源、百丈峡酒店、</w:t>
            </w:r>
            <w:r>
              <w:rPr>
                <w:rFonts w:hint="eastAsia" w:ascii="微软雅黑" w:hAnsi="微软雅黑" w:eastAsia="微软雅黑" w:cs="Times New Roman"/>
                <w:kern w:val="0"/>
                <w:sz w:val="21"/>
                <w:szCs w:val="21"/>
                <w:lang w:eastAsia="zh-CN"/>
              </w:rPr>
              <w:t>云庭时光、美和美人文精品、土司别院</w:t>
            </w:r>
            <w:r>
              <w:rPr>
                <w:rFonts w:hint="eastAsia" w:ascii="微软雅黑" w:hAnsi="微软雅黑" w:eastAsia="微软雅黑" w:cs="Times New Roman"/>
                <w:kern w:val="0"/>
                <w:sz w:val="21"/>
                <w:szCs w:val="21"/>
              </w:rPr>
              <w:t xml:space="preserve">等同级；      </w:t>
            </w:r>
          </w:p>
          <w:p w14:paraId="0C059A33">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Times New Roman"/>
                <w:kern w:val="0"/>
                <w:sz w:val="21"/>
                <w:szCs w:val="21"/>
              </w:rPr>
              <w:t>凤  凰：栢曼、浩瀚聚贤庄、</w:t>
            </w:r>
            <w:r>
              <w:rPr>
                <w:rFonts w:hint="eastAsia" w:ascii="微软雅黑" w:hAnsi="微软雅黑" w:eastAsia="微软雅黑" w:cs="Times New Roman"/>
                <w:kern w:val="0"/>
                <w:sz w:val="21"/>
                <w:szCs w:val="21"/>
                <w:lang w:eastAsia="zh-CN"/>
              </w:rPr>
              <w:t>归璞、</w:t>
            </w:r>
            <w:r>
              <w:rPr>
                <w:rFonts w:hint="eastAsia" w:ascii="微软雅黑" w:hAnsi="微软雅黑" w:eastAsia="微软雅黑" w:cs="Times New Roman"/>
                <w:kern w:val="0"/>
                <w:sz w:val="21"/>
                <w:szCs w:val="21"/>
              </w:rPr>
              <w:t>嘉尔斯、凤里.众栖、泊林水畔等同级。</w:t>
            </w:r>
          </w:p>
        </w:tc>
      </w:tr>
      <w:tr w14:paraId="097EB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6222565">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09F684C">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7F838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79292F37">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560A010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33DCFE1">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747621C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7D408FAB">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44F2AC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tcPr>
          <w:p w14:paraId="7B76CEA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2AD7FF91">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061998D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57C0E9CC">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746FB04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219457B1">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86DDD2A">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C88D6C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43D30C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3CFF6B0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0047BB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734A0F78">
      <w:pPr>
        <w:pStyle w:val="5"/>
        <w:rPr>
          <w:rFonts w:hint="eastAsia"/>
          <w:lang w:eastAsia="zh-CN"/>
        </w:rPr>
      </w:pPr>
    </w:p>
    <w:p w14:paraId="3FC5BEDF">
      <w:pPr>
        <w:pStyle w:val="5"/>
        <w:rPr>
          <w:rFonts w:hint="eastAsia"/>
          <w:lang w:eastAsia="zh-CN"/>
        </w:rPr>
      </w:pPr>
    </w:p>
    <w:p w14:paraId="70E10B31">
      <w:pPr>
        <w:pStyle w:val="5"/>
        <w:rPr>
          <w:rFonts w:hint="eastAsia"/>
          <w:lang w:eastAsia="zh-CN"/>
        </w:rPr>
      </w:pPr>
    </w:p>
    <w:p w14:paraId="1BA27B72">
      <w:pPr>
        <w:pStyle w:val="5"/>
        <w:rPr>
          <w:rFonts w:hint="eastAsia"/>
          <w:lang w:eastAsia="zh-CN"/>
        </w:rPr>
      </w:pPr>
    </w:p>
    <w:p w14:paraId="3C3EFE41">
      <w:pPr>
        <w:pStyle w:val="5"/>
        <w:rPr>
          <w:rFonts w:hint="eastAsia"/>
          <w:lang w:eastAsia="zh-CN"/>
        </w:rPr>
      </w:pPr>
    </w:p>
    <w:p w14:paraId="5A2F6A38">
      <w:pPr>
        <w:pStyle w:val="5"/>
        <w:rPr>
          <w:rFonts w:hint="eastAsia"/>
          <w:lang w:eastAsia="zh-CN"/>
        </w:rPr>
      </w:pPr>
    </w:p>
    <w:p w14:paraId="5F13E199">
      <w:pPr>
        <w:pStyle w:val="5"/>
        <w:rPr>
          <w:rFonts w:hint="eastAsia"/>
          <w:lang w:eastAsia="zh-CN"/>
        </w:rPr>
      </w:pPr>
    </w:p>
    <w:p w14:paraId="187224F4">
      <w:pPr>
        <w:pStyle w:val="5"/>
        <w:rPr>
          <w:rFonts w:hint="eastAsia"/>
          <w:lang w:eastAsia="zh-CN"/>
        </w:rPr>
      </w:pPr>
    </w:p>
    <w:p w14:paraId="37165F29">
      <w:pPr>
        <w:pStyle w:val="5"/>
        <w:rPr>
          <w:rFonts w:hint="eastAsia"/>
          <w:lang w:eastAsia="zh-CN"/>
        </w:rPr>
      </w:pPr>
    </w:p>
    <w:p w14:paraId="1A9171A4">
      <w:pPr>
        <w:pStyle w:val="5"/>
        <w:rPr>
          <w:rFonts w:hint="eastAsia"/>
          <w:lang w:eastAsia="zh-CN"/>
        </w:rPr>
      </w:pPr>
    </w:p>
    <w:p w14:paraId="0E56D32C">
      <w:pPr>
        <w:pStyle w:val="5"/>
        <w:rPr>
          <w:rFonts w:hint="eastAsia"/>
          <w:lang w:eastAsia="zh-CN"/>
        </w:rPr>
      </w:pPr>
    </w:p>
    <w:p w14:paraId="06B79B46">
      <w:pPr>
        <w:pStyle w:val="5"/>
        <w:rPr>
          <w:rFonts w:hint="eastAsia"/>
          <w:lang w:eastAsia="zh-CN"/>
        </w:rPr>
      </w:pPr>
    </w:p>
    <w:p w14:paraId="0864DE29">
      <w:pPr>
        <w:pStyle w:val="5"/>
        <w:rPr>
          <w:rFonts w:hint="eastAsia"/>
          <w:lang w:eastAsia="zh-CN"/>
        </w:rPr>
      </w:pPr>
    </w:p>
    <w:p w14:paraId="2E35F816">
      <w:pPr>
        <w:pStyle w:val="5"/>
        <w:rPr>
          <w:rFonts w:hint="eastAsia"/>
          <w:lang w:eastAsia="zh-CN"/>
        </w:rPr>
      </w:pPr>
    </w:p>
    <w:p w14:paraId="14724CF2">
      <w:pPr>
        <w:pStyle w:val="5"/>
        <w:rPr>
          <w:rFonts w:hint="eastAsia"/>
          <w:lang w:eastAsia="zh-CN"/>
        </w:rPr>
      </w:pPr>
    </w:p>
    <w:p w14:paraId="53E2FC0B">
      <w:pPr>
        <w:pStyle w:val="5"/>
        <w:rPr>
          <w:rFonts w:hint="eastAsia"/>
          <w:lang w:eastAsia="zh-CN"/>
        </w:rPr>
      </w:pPr>
    </w:p>
    <w:p w14:paraId="39AC67E4">
      <w:pPr>
        <w:pStyle w:val="5"/>
        <w:rPr>
          <w:rFonts w:hint="eastAsia"/>
          <w:lang w:eastAsia="zh-CN"/>
        </w:rPr>
      </w:pPr>
    </w:p>
    <w:p w14:paraId="5811C04E">
      <w:pPr>
        <w:pStyle w:val="5"/>
        <w:rPr>
          <w:rFonts w:hint="eastAsia"/>
          <w:lang w:eastAsia="zh-CN"/>
        </w:rPr>
      </w:pPr>
    </w:p>
    <w:p w14:paraId="72B421C8">
      <w:pPr>
        <w:pStyle w:val="5"/>
        <w:rPr>
          <w:rFonts w:hint="eastAsia"/>
          <w:lang w:eastAsia="zh-CN"/>
        </w:rPr>
      </w:pPr>
    </w:p>
    <w:p w14:paraId="76DA020F">
      <w:pPr>
        <w:pStyle w:val="5"/>
        <w:rPr>
          <w:rFonts w:hint="eastAsia"/>
          <w:lang w:eastAsia="zh-CN"/>
        </w:rPr>
      </w:pPr>
    </w:p>
    <w:p w14:paraId="34BAAD22">
      <w:pPr>
        <w:pStyle w:val="5"/>
        <w:rPr>
          <w:rFonts w:hint="eastAsia"/>
          <w:lang w:eastAsia="zh-CN"/>
        </w:rPr>
      </w:pPr>
    </w:p>
    <w:p w14:paraId="307ADD39">
      <w:pPr>
        <w:pStyle w:val="5"/>
        <w:rPr>
          <w:rFonts w:hint="eastAsia"/>
          <w:lang w:eastAsia="zh-CN"/>
        </w:rPr>
      </w:pPr>
    </w:p>
    <w:p w14:paraId="21C1FA3C">
      <w:pPr>
        <w:pStyle w:val="5"/>
        <w:rPr>
          <w:rFonts w:hint="eastAsia"/>
          <w:lang w:eastAsia="zh-CN"/>
        </w:rPr>
      </w:pPr>
    </w:p>
    <w:p w14:paraId="1AAFB491">
      <w:pPr>
        <w:pStyle w:val="5"/>
        <w:rPr>
          <w:rFonts w:hint="eastAsia"/>
          <w:lang w:eastAsia="zh-CN"/>
        </w:rPr>
      </w:pPr>
    </w:p>
    <w:p w14:paraId="268BD986">
      <w:pPr>
        <w:pStyle w:val="5"/>
        <w:rPr>
          <w:rFonts w:hint="eastAsia"/>
          <w:lang w:eastAsia="zh-CN"/>
        </w:rPr>
      </w:pPr>
    </w:p>
    <w:p w14:paraId="3CA0E3A2">
      <w:pPr>
        <w:pStyle w:val="5"/>
        <w:rPr>
          <w:rFonts w:hint="eastAsia"/>
          <w:lang w:eastAsia="zh-CN"/>
        </w:rPr>
      </w:pPr>
    </w:p>
    <w:p w14:paraId="3E0884A8">
      <w:pPr>
        <w:pStyle w:val="5"/>
        <w:rPr>
          <w:rFonts w:hint="eastAsia"/>
          <w:lang w:eastAsia="zh-CN"/>
        </w:rPr>
      </w:pPr>
    </w:p>
    <w:p w14:paraId="1B7EBC46">
      <w:pPr>
        <w:pStyle w:val="5"/>
        <w:rPr>
          <w:rFonts w:hint="eastAsia"/>
          <w:lang w:eastAsia="zh-CN"/>
        </w:rPr>
      </w:pPr>
    </w:p>
    <w:p w14:paraId="1B47F416">
      <w:pPr>
        <w:pStyle w:val="5"/>
        <w:rPr>
          <w:rFonts w:hint="eastAsia"/>
          <w:lang w:eastAsia="zh-CN"/>
        </w:rPr>
      </w:pPr>
    </w:p>
    <w:p w14:paraId="72927071">
      <w:pPr>
        <w:pStyle w:val="5"/>
        <w:rPr>
          <w:rFonts w:hint="eastAsia"/>
          <w:lang w:eastAsia="zh-CN"/>
        </w:rPr>
      </w:pPr>
    </w:p>
    <w:p w14:paraId="49D1E6C7">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Narkisim">
    <w:altName w:val="Segoe Print"/>
    <w:panose1 w:val="020E0502050101010101"/>
    <w:charset w:val="00"/>
    <w:family w:val="auto"/>
    <w:pitch w:val="default"/>
    <w:sig w:usb0="00000000" w:usb1="00000000" w:usb2="00000000" w:usb3="00000000" w:csb0="00000020" w:csb1="00200000"/>
  </w:font>
  <w:font w:name="微软雅黑 Light">
    <w:panose1 w:val="020B0502040204020203"/>
    <w:charset w:val="86"/>
    <w:family w:val="swiss"/>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FCE9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ECA78C">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BED10">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347A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4798F">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94D13">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zZTI5MDA1MmJhNzYxMDFhYmVmMTM5ZWNmODBmODU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D0479"/>
    <w:rsid w:val="0157064E"/>
    <w:rsid w:val="016469E8"/>
    <w:rsid w:val="02492FB3"/>
    <w:rsid w:val="029C3B08"/>
    <w:rsid w:val="032D0FCD"/>
    <w:rsid w:val="03343D40"/>
    <w:rsid w:val="034E7440"/>
    <w:rsid w:val="0378130B"/>
    <w:rsid w:val="037B7F1C"/>
    <w:rsid w:val="03A87411"/>
    <w:rsid w:val="04BD7252"/>
    <w:rsid w:val="05077321"/>
    <w:rsid w:val="052102F4"/>
    <w:rsid w:val="055664B3"/>
    <w:rsid w:val="05BB103F"/>
    <w:rsid w:val="05C8291B"/>
    <w:rsid w:val="05EB75A5"/>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E5797A"/>
    <w:rsid w:val="091D389B"/>
    <w:rsid w:val="09337B5B"/>
    <w:rsid w:val="09420551"/>
    <w:rsid w:val="098442F1"/>
    <w:rsid w:val="09B94F9F"/>
    <w:rsid w:val="09C35CEF"/>
    <w:rsid w:val="09D10E6F"/>
    <w:rsid w:val="09E225A5"/>
    <w:rsid w:val="09E71B0D"/>
    <w:rsid w:val="09F65C36"/>
    <w:rsid w:val="09FB503E"/>
    <w:rsid w:val="0A735171"/>
    <w:rsid w:val="0A8473AE"/>
    <w:rsid w:val="0A8A2888"/>
    <w:rsid w:val="0A9760CA"/>
    <w:rsid w:val="0AB27CE8"/>
    <w:rsid w:val="0AB416DB"/>
    <w:rsid w:val="0B4A3C17"/>
    <w:rsid w:val="0B7C24E7"/>
    <w:rsid w:val="0B7F3A6A"/>
    <w:rsid w:val="0B9B10B5"/>
    <w:rsid w:val="0BF25217"/>
    <w:rsid w:val="0C096925"/>
    <w:rsid w:val="0C450D6C"/>
    <w:rsid w:val="0C5919D1"/>
    <w:rsid w:val="0C6F3428"/>
    <w:rsid w:val="0C7E69E5"/>
    <w:rsid w:val="0CE63B48"/>
    <w:rsid w:val="0D25763E"/>
    <w:rsid w:val="0D366907"/>
    <w:rsid w:val="0D5F66AE"/>
    <w:rsid w:val="0D6C10EE"/>
    <w:rsid w:val="0DC9323A"/>
    <w:rsid w:val="0E344116"/>
    <w:rsid w:val="0E4949A1"/>
    <w:rsid w:val="0E5E7EC3"/>
    <w:rsid w:val="0E850379"/>
    <w:rsid w:val="0EDC68F7"/>
    <w:rsid w:val="0EE84465"/>
    <w:rsid w:val="0EF273CF"/>
    <w:rsid w:val="0F011DF7"/>
    <w:rsid w:val="0FB57FB7"/>
    <w:rsid w:val="10F16AE3"/>
    <w:rsid w:val="110513E7"/>
    <w:rsid w:val="11427B0D"/>
    <w:rsid w:val="11B34360"/>
    <w:rsid w:val="12361B78"/>
    <w:rsid w:val="12EF0A4F"/>
    <w:rsid w:val="13371388"/>
    <w:rsid w:val="136A4169"/>
    <w:rsid w:val="13EC55EC"/>
    <w:rsid w:val="13F66591"/>
    <w:rsid w:val="14321F2A"/>
    <w:rsid w:val="143C7B63"/>
    <w:rsid w:val="14E90B24"/>
    <w:rsid w:val="150D1EBE"/>
    <w:rsid w:val="157261C7"/>
    <w:rsid w:val="159C58D1"/>
    <w:rsid w:val="15B0279D"/>
    <w:rsid w:val="15B36F61"/>
    <w:rsid w:val="15D42860"/>
    <w:rsid w:val="15FF7837"/>
    <w:rsid w:val="16960D6D"/>
    <w:rsid w:val="16F7733F"/>
    <w:rsid w:val="17222925"/>
    <w:rsid w:val="17A77194"/>
    <w:rsid w:val="17AB7D29"/>
    <w:rsid w:val="17AE51C3"/>
    <w:rsid w:val="17AF7A04"/>
    <w:rsid w:val="183B6DAB"/>
    <w:rsid w:val="189A56D0"/>
    <w:rsid w:val="18BC4164"/>
    <w:rsid w:val="19410B0E"/>
    <w:rsid w:val="19872F1E"/>
    <w:rsid w:val="198F3627"/>
    <w:rsid w:val="19B07A1C"/>
    <w:rsid w:val="19F63A29"/>
    <w:rsid w:val="1A066980"/>
    <w:rsid w:val="1A371E92"/>
    <w:rsid w:val="1A4B1305"/>
    <w:rsid w:val="1A76740C"/>
    <w:rsid w:val="1AF24969"/>
    <w:rsid w:val="1B4A6010"/>
    <w:rsid w:val="1BA04EFC"/>
    <w:rsid w:val="1C4C0D55"/>
    <w:rsid w:val="1C4E38DD"/>
    <w:rsid w:val="1CA647A6"/>
    <w:rsid w:val="1CA66D5E"/>
    <w:rsid w:val="1CED73D2"/>
    <w:rsid w:val="1D1F4CA2"/>
    <w:rsid w:val="1D5C01C9"/>
    <w:rsid w:val="1E3501C4"/>
    <w:rsid w:val="1E841FFE"/>
    <w:rsid w:val="1EA96F39"/>
    <w:rsid w:val="1F246147"/>
    <w:rsid w:val="1F4D65B6"/>
    <w:rsid w:val="1FB57B5F"/>
    <w:rsid w:val="1FBC28E0"/>
    <w:rsid w:val="200F7270"/>
    <w:rsid w:val="205B6E3B"/>
    <w:rsid w:val="20C45EF0"/>
    <w:rsid w:val="21B76F72"/>
    <w:rsid w:val="22233137"/>
    <w:rsid w:val="22464DDD"/>
    <w:rsid w:val="22586EEA"/>
    <w:rsid w:val="22840166"/>
    <w:rsid w:val="22E744D4"/>
    <w:rsid w:val="23D5466C"/>
    <w:rsid w:val="23E40D09"/>
    <w:rsid w:val="244B5D34"/>
    <w:rsid w:val="24AC5F28"/>
    <w:rsid w:val="24D80578"/>
    <w:rsid w:val="257A557F"/>
    <w:rsid w:val="25986633"/>
    <w:rsid w:val="259A25D7"/>
    <w:rsid w:val="26A435E6"/>
    <w:rsid w:val="27026F8E"/>
    <w:rsid w:val="272D7E6A"/>
    <w:rsid w:val="27914A0E"/>
    <w:rsid w:val="27A537A4"/>
    <w:rsid w:val="27AE5018"/>
    <w:rsid w:val="27C60F57"/>
    <w:rsid w:val="27C6290A"/>
    <w:rsid w:val="27D8088F"/>
    <w:rsid w:val="27F33DF7"/>
    <w:rsid w:val="28245521"/>
    <w:rsid w:val="283D5649"/>
    <w:rsid w:val="28692F0F"/>
    <w:rsid w:val="28820959"/>
    <w:rsid w:val="28DE2432"/>
    <w:rsid w:val="28E53D4A"/>
    <w:rsid w:val="29112363"/>
    <w:rsid w:val="295469FF"/>
    <w:rsid w:val="29607497"/>
    <w:rsid w:val="29991642"/>
    <w:rsid w:val="29AC104D"/>
    <w:rsid w:val="29BC1CC6"/>
    <w:rsid w:val="29D013B1"/>
    <w:rsid w:val="29ED0967"/>
    <w:rsid w:val="2A3224D8"/>
    <w:rsid w:val="2A397D52"/>
    <w:rsid w:val="2A4B564D"/>
    <w:rsid w:val="2ACB46DB"/>
    <w:rsid w:val="2B386221"/>
    <w:rsid w:val="2BAB2B4A"/>
    <w:rsid w:val="2BE02D66"/>
    <w:rsid w:val="2BF57730"/>
    <w:rsid w:val="2C493A17"/>
    <w:rsid w:val="2CB96718"/>
    <w:rsid w:val="2CF439DB"/>
    <w:rsid w:val="2D234CF5"/>
    <w:rsid w:val="2D3B0A92"/>
    <w:rsid w:val="2D721978"/>
    <w:rsid w:val="2DC860A6"/>
    <w:rsid w:val="2DF67CC1"/>
    <w:rsid w:val="2EA03DF2"/>
    <w:rsid w:val="2EC75720"/>
    <w:rsid w:val="2EDE4234"/>
    <w:rsid w:val="2EE948D6"/>
    <w:rsid w:val="2EF53261"/>
    <w:rsid w:val="2EFC1307"/>
    <w:rsid w:val="2F046E1E"/>
    <w:rsid w:val="2F357C66"/>
    <w:rsid w:val="2F4F4441"/>
    <w:rsid w:val="2FE11772"/>
    <w:rsid w:val="30BA4CEE"/>
    <w:rsid w:val="30DF0305"/>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8931C8"/>
    <w:rsid w:val="358C22F5"/>
    <w:rsid w:val="36276C4F"/>
    <w:rsid w:val="36472702"/>
    <w:rsid w:val="36775E73"/>
    <w:rsid w:val="370F5DD1"/>
    <w:rsid w:val="371B773A"/>
    <w:rsid w:val="37305A51"/>
    <w:rsid w:val="374750E9"/>
    <w:rsid w:val="37FA789F"/>
    <w:rsid w:val="37FF748C"/>
    <w:rsid w:val="381F242D"/>
    <w:rsid w:val="3901371D"/>
    <w:rsid w:val="39B44CE2"/>
    <w:rsid w:val="39D30EB6"/>
    <w:rsid w:val="39ED3ED1"/>
    <w:rsid w:val="3A297CD2"/>
    <w:rsid w:val="3A9665B5"/>
    <w:rsid w:val="3AB309C7"/>
    <w:rsid w:val="3B4B164C"/>
    <w:rsid w:val="3C0C0AA1"/>
    <w:rsid w:val="3C164A8D"/>
    <w:rsid w:val="3C35731A"/>
    <w:rsid w:val="3C4D011D"/>
    <w:rsid w:val="3C5710E9"/>
    <w:rsid w:val="3C9F3955"/>
    <w:rsid w:val="3CB7466E"/>
    <w:rsid w:val="3D4A5933"/>
    <w:rsid w:val="3DB86D58"/>
    <w:rsid w:val="3DF136D1"/>
    <w:rsid w:val="3E0E35C3"/>
    <w:rsid w:val="3E2245A8"/>
    <w:rsid w:val="3E6413E1"/>
    <w:rsid w:val="3F052F45"/>
    <w:rsid w:val="3F1E55F3"/>
    <w:rsid w:val="3F43088C"/>
    <w:rsid w:val="3F440007"/>
    <w:rsid w:val="3F711169"/>
    <w:rsid w:val="3F895B21"/>
    <w:rsid w:val="3FC93043"/>
    <w:rsid w:val="40063D93"/>
    <w:rsid w:val="406B3968"/>
    <w:rsid w:val="407A3382"/>
    <w:rsid w:val="40B04456"/>
    <w:rsid w:val="40FB5581"/>
    <w:rsid w:val="4119604E"/>
    <w:rsid w:val="41524DB6"/>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5295867"/>
    <w:rsid w:val="458F65D9"/>
    <w:rsid w:val="459840BF"/>
    <w:rsid w:val="45EB289C"/>
    <w:rsid w:val="460401AE"/>
    <w:rsid w:val="46335606"/>
    <w:rsid w:val="46446916"/>
    <w:rsid w:val="46454B73"/>
    <w:rsid w:val="46486737"/>
    <w:rsid w:val="468A6DA0"/>
    <w:rsid w:val="46A00465"/>
    <w:rsid w:val="4762127A"/>
    <w:rsid w:val="47830661"/>
    <w:rsid w:val="47B24A23"/>
    <w:rsid w:val="47E8112C"/>
    <w:rsid w:val="47EA5D88"/>
    <w:rsid w:val="4836317F"/>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521FE"/>
    <w:rsid w:val="4CDB3060"/>
    <w:rsid w:val="4CF0081A"/>
    <w:rsid w:val="4D1C581A"/>
    <w:rsid w:val="4D4B583F"/>
    <w:rsid w:val="4D576E1A"/>
    <w:rsid w:val="4D5D122C"/>
    <w:rsid w:val="4D832CE2"/>
    <w:rsid w:val="4DC834CB"/>
    <w:rsid w:val="4ECB44D1"/>
    <w:rsid w:val="4ED93AEE"/>
    <w:rsid w:val="4F0202B4"/>
    <w:rsid w:val="4F293D1D"/>
    <w:rsid w:val="4F2D45BF"/>
    <w:rsid w:val="4F3802E4"/>
    <w:rsid w:val="4F5F5742"/>
    <w:rsid w:val="4FA02EC7"/>
    <w:rsid w:val="4FC96B8B"/>
    <w:rsid w:val="501F46ED"/>
    <w:rsid w:val="508D440A"/>
    <w:rsid w:val="508F3931"/>
    <w:rsid w:val="5103733B"/>
    <w:rsid w:val="511E308E"/>
    <w:rsid w:val="51217D24"/>
    <w:rsid w:val="512247A5"/>
    <w:rsid w:val="51560851"/>
    <w:rsid w:val="521603C2"/>
    <w:rsid w:val="523C2D3F"/>
    <w:rsid w:val="52992947"/>
    <w:rsid w:val="52D7336D"/>
    <w:rsid w:val="52F03774"/>
    <w:rsid w:val="52FA265B"/>
    <w:rsid w:val="538B0C1D"/>
    <w:rsid w:val="53C84C9E"/>
    <w:rsid w:val="54027369"/>
    <w:rsid w:val="540602EE"/>
    <w:rsid w:val="54C97A24"/>
    <w:rsid w:val="54EC6085"/>
    <w:rsid w:val="551A3EF8"/>
    <w:rsid w:val="552A37C1"/>
    <w:rsid w:val="557469FA"/>
    <w:rsid w:val="55CF021E"/>
    <w:rsid w:val="55D93D68"/>
    <w:rsid w:val="561720BD"/>
    <w:rsid w:val="56405548"/>
    <w:rsid w:val="56511950"/>
    <w:rsid w:val="56693A34"/>
    <w:rsid w:val="56891D8F"/>
    <w:rsid w:val="56C02F6A"/>
    <w:rsid w:val="56C105BC"/>
    <w:rsid w:val="56EA6CD1"/>
    <w:rsid w:val="56F42EB1"/>
    <w:rsid w:val="56F74F33"/>
    <w:rsid w:val="570D43E2"/>
    <w:rsid w:val="57C31B98"/>
    <w:rsid w:val="580C3794"/>
    <w:rsid w:val="581546AF"/>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E3049A"/>
    <w:rsid w:val="5D343E68"/>
    <w:rsid w:val="5D395EF9"/>
    <w:rsid w:val="5D460992"/>
    <w:rsid w:val="5DD041F3"/>
    <w:rsid w:val="5DD4636B"/>
    <w:rsid w:val="5DDD6FFB"/>
    <w:rsid w:val="5DF64FF0"/>
    <w:rsid w:val="5E79352B"/>
    <w:rsid w:val="5EA17CC3"/>
    <w:rsid w:val="5EAF3E6C"/>
    <w:rsid w:val="5F3B0C4C"/>
    <w:rsid w:val="5F744E64"/>
    <w:rsid w:val="5FA76558"/>
    <w:rsid w:val="600616BF"/>
    <w:rsid w:val="6018347B"/>
    <w:rsid w:val="60C73DE5"/>
    <w:rsid w:val="60EA73D6"/>
    <w:rsid w:val="610572F8"/>
    <w:rsid w:val="6133198D"/>
    <w:rsid w:val="617E0AF8"/>
    <w:rsid w:val="619304B3"/>
    <w:rsid w:val="61B57C03"/>
    <w:rsid w:val="63006B79"/>
    <w:rsid w:val="63600E30"/>
    <w:rsid w:val="636A4566"/>
    <w:rsid w:val="637C1DF3"/>
    <w:rsid w:val="63D342E8"/>
    <w:rsid w:val="640D5BAD"/>
    <w:rsid w:val="642C1302"/>
    <w:rsid w:val="648C5748"/>
    <w:rsid w:val="65AE41C1"/>
    <w:rsid w:val="65B95839"/>
    <w:rsid w:val="65CB7234"/>
    <w:rsid w:val="65DC23AC"/>
    <w:rsid w:val="664D50DC"/>
    <w:rsid w:val="66935810"/>
    <w:rsid w:val="669D3B0F"/>
    <w:rsid w:val="66AC566C"/>
    <w:rsid w:val="66EE3BC9"/>
    <w:rsid w:val="672E5BEB"/>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4F545A"/>
    <w:rsid w:val="6C664AF2"/>
    <w:rsid w:val="6CED3119"/>
    <w:rsid w:val="6CF46B9E"/>
    <w:rsid w:val="6D091E11"/>
    <w:rsid w:val="6D1B2322"/>
    <w:rsid w:val="6DA4008B"/>
    <w:rsid w:val="6DC823DA"/>
    <w:rsid w:val="6ECF4375"/>
    <w:rsid w:val="6F20013B"/>
    <w:rsid w:val="6FCC47C8"/>
    <w:rsid w:val="70F322CE"/>
    <w:rsid w:val="70F84783"/>
    <w:rsid w:val="71D37635"/>
    <w:rsid w:val="722A21C5"/>
    <w:rsid w:val="72343EE1"/>
    <w:rsid w:val="72BC780D"/>
    <w:rsid w:val="72C62AA1"/>
    <w:rsid w:val="72C708B1"/>
    <w:rsid w:val="72C75081"/>
    <w:rsid w:val="72F851A0"/>
    <w:rsid w:val="73130422"/>
    <w:rsid w:val="73195863"/>
    <w:rsid w:val="73840550"/>
    <w:rsid w:val="73CE3E28"/>
    <w:rsid w:val="73EB5BE4"/>
    <w:rsid w:val="743D4317"/>
    <w:rsid w:val="74DD4D17"/>
    <w:rsid w:val="74EE6EA4"/>
    <w:rsid w:val="751D4327"/>
    <w:rsid w:val="75242E64"/>
    <w:rsid w:val="753627B5"/>
    <w:rsid w:val="753D37FC"/>
    <w:rsid w:val="7610256F"/>
    <w:rsid w:val="76290CF7"/>
    <w:rsid w:val="768F7938"/>
    <w:rsid w:val="76A13980"/>
    <w:rsid w:val="76C11531"/>
    <w:rsid w:val="76F0652C"/>
    <w:rsid w:val="76F7344E"/>
    <w:rsid w:val="76F9348F"/>
    <w:rsid w:val="770F58C0"/>
    <w:rsid w:val="77221663"/>
    <w:rsid w:val="77531EB4"/>
    <w:rsid w:val="777E2193"/>
    <w:rsid w:val="77E57235"/>
    <w:rsid w:val="78075142"/>
    <w:rsid w:val="782C529D"/>
    <w:rsid w:val="788A6608"/>
    <w:rsid w:val="78962E19"/>
    <w:rsid w:val="78E8447A"/>
    <w:rsid w:val="78F35532"/>
    <w:rsid w:val="792B2D90"/>
    <w:rsid w:val="795839D1"/>
    <w:rsid w:val="79600CBC"/>
    <w:rsid w:val="798B5156"/>
    <w:rsid w:val="799176AF"/>
    <w:rsid w:val="7B221DB8"/>
    <w:rsid w:val="7B2A1EE8"/>
    <w:rsid w:val="7BDE4262"/>
    <w:rsid w:val="7D027BEA"/>
    <w:rsid w:val="7D1D777F"/>
    <w:rsid w:val="7D2F4E8F"/>
    <w:rsid w:val="7D5B2135"/>
    <w:rsid w:val="7D60435C"/>
    <w:rsid w:val="7D7A3790"/>
    <w:rsid w:val="7D7E5EC1"/>
    <w:rsid w:val="7DA66CC3"/>
    <w:rsid w:val="7DB0236B"/>
    <w:rsid w:val="7DDF7215"/>
    <w:rsid w:val="7E1E5334"/>
    <w:rsid w:val="7E2A7DC1"/>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0"/>
    <w:rPr>
      <w:b/>
    </w:rPr>
  </w:style>
  <w:style w:type="character" w:styleId="14">
    <w:name w:val="Hyperlink"/>
    <w:basedOn w:val="12"/>
    <w:autoRedefine/>
    <w:qFormat/>
    <w:uiPriority w:val="0"/>
    <w:rPr>
      <w:color w:val="0000FF"/>
      <w:sz w:val="21"/>
      <w:szCs w:val="20"/>
      <w:u w:val="single"/>
    </w:rPr>
  </w:style>
  <w:style w:type="paragraph" w:customStyle="1" w:styleId="15">
    <w:name w:val="Table Paragraph"/>
    <w:basedOn w:val="1"/>
    <w:autoRedefine/>
    <w:qFormat/>
    <w:uiPriority w:val="1"/>
    <w:pPr>
      <w:ind w:left="108"/>
    </w:pPr>
    <w:rPr>
      <w:rFonts w:ascii="微软雅黑" w:hAnsi="微软雅黑" w:eastAsia="微软雅黑" w:cs="微软雅黑"/>
      <w:lang w:val="zh-CN" w:bidi="zh-CN"/>
    </w:rPr>
  </w:style>
  <w:style w:type="character" w:customStyle="1" w:styleId="16">
    <w:name w:val="NormalCharacter"/>
    <w:autoRedefine/>
    <w:qFormat/>
    <w:uiPriority w:val="0"/>
    <w:rPr>
      <w:rFonts w:ascii="Times New Roman" w:hAnsi="Times New Roman" w:eastAsia="宋体" w:cs="Times New Roman"/>
      <w:kern w:val="2"/>
      <w:sz w:val="21"/>
      <w:lang w:val="en-US" w:eastAsia="zh-CN" w:bidi="ar-SA"/>
    </w:rPr>
  </w:style>
  <w:style w:type="character" w:customStyle="1" w:styleId="17">
    <w:name w:val="批注框文本 Char"/>
    <w:basedOn w:val="12"/>
    <w:link w:val="6"/>
    <w:autoRedefine/>
    <w:qFormat/>
    <w:uiPriority w:val="0"/>
    <w:rPr>
      <w:rFonts w:ascii="Calibri" w:hAnsi="Calibri"/>
      <w:kern w:val="2"/>
      <w:sz w:val="18"/>
      <w:szCs w:val="18"/>
    </w:rPr>
  </w:style>
  <w:style w:type="character" w:customStyle="1" w:styleId="18">
    <w:name w:val="无"/>
    <w:basedOn w:val="12"/>
    <w:autoRedefine/>
    <w:qFormat/>
    <w:uiPriority w:val="0"/>
  </w:style>
  <w:style w:type="paragraph" w:styleId="19">
    <w:name w:val="List Paragraph"/>
    <w:basedOn w:val="1"/>
    <w:next w:val="1"/>
    <w:autoRedefine/>
    <w:qFormat/>
    <w:uiPriority w:val="99"/>
    <w:pPr>
      <w:ind w:firstLine="420" w:firstLineChars="200"/>
    </w:pPr>
    <w:rPr>
      <w:rFonts w:ascii="Calibri" w:hAnsi="Calibri" w:cs="Calibri"/>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7078</Words>
  <Characters>7207</Characters>
  <Lines>41</Lines>
  <Paragraphs>11</Paragraphs>
  <TotalTime>0</TotalTime>
  <ScaleCrop>false</ScaleCrop>
  <LinksUpToDate>false</LinksUpToDate>
  <CharactersWithSpaces>7492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无话可说</cp:lastModifiedBy>
  <dcterms:modified xsi:type="dcterms:W3CDTF">2025-03-28T09:13:36Z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241F242D66E84A95AF85B7E6F546CC0D_13</vt:lpwstr>
  </property>
  <property fmtid="{D5CDD505-2E9C-101B-9397-08002B2CF9AE}" pid="5" name="KSOTemplateDocerSaveRecord">
    <vt:lpwstr>eyJoZGlkIjoiOGUzZjU4MjBiOThiOTc1ZDI1NDVlOGQ2YzEwNmNmMGQiLCJ1c2VySWQiOiIyODEyNzY2NDcifQ==</vt:lpwstr>
  </property>
</Properties>
</file>