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D2F3C9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sans-serif" w:hAnsi="sans-serif" w:eastAsia="sans-serif" w:cs="sans-serif"/>
          <w:i w:val="0"/>
          <w:iCs w:val="0"/>
          <w:caps w:val="0"/>
          <w:color w:val="000000"/>
          <w:spacing w:val="0"/>
          <w:sz w:val="19"/>
          <w:szCs w:val="19"/>
        </w:rPr>
        <w:drawing>
          <wp:anchor distT="0" distB="0" distL="114300" distR="114300" simplePos="0" relativeHeight="251675648" behindDoc="0" locked="0" layoutInCell="1" allowOverlap="1">
            <wp:simplePos x="0" y="0"/>
            <wp:positionH relativeFrom="column">
              <wp:posOffset>-246380</wp:posOffset>
            </wp:positionH>
            <wp:positionV relativeFrom="paragraph">
              <wp:posOffset>-396240</wp:posOffset>
            </wp:positionV>
            <wp:extent cx="7637780" cy="12390755"/>
            <wp:effectExtent l="0" t="0" r="1270" b="10795"/>
            <wp:wrapTopAndBottom/>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11"/>
                    <a:stretch>
                      <a:fillRect/>
                    </a:stretch>
                  </pic:blipFill>
                  <pic:spPr>
                    <a:xfrm>
                      <a:off x="0" y="0"/>
                      <a:ext cx="7637780" cy="12390755"/>
                    </a:xfrm>
                    <a:prstGeom prst="rect">
                      <a:avLst/>
                    </a:prstGeom>
                    <a:noFill/>
                    <a:ln w="9525">
                      <a:noFill/>
                    </a:ln>
                  </pic:spPr>
                </pic:pic>
              </a:graphicData>
            </a:graphic>
          </wp:anchor>
        </w:drawing>
      </w:r>
    </w:p>
    <w:p w14:paraId="0A558699">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08C5AE7D">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2576"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6BEE7EB4">
      <w:pPr>
        <w:tabs>
          <w:tab w:val="left" w:pos="8583"/>
        </w:tabs>
        <w:jc w:val="left"/>
        <w:rPr>
          <w:rFonts w:hint="eastAsia" w:eastAsia="宋体"/>
          <w:sz w:val="18"/>
          <w:szCs w:val="18"/>
          <w:lang w:eastAsia="zh-CN"/>
        </w:rPr>
      </w:pPr>
    </w:p>
    <w:p w14:paraId="47C1D0E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6EF8C12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462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168C1602">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540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7456"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4AA8D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C392F1C">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湘至尊</w:t>
            </w:r>
            <w:r>
              <w:rPr>
                <w:rFonts w:hint="eastAsia" w:ascii="微软雅黑" w:hAnsi="微软雅黑" w:eastAsia="微软雅黑" w:cs="微软雅黑"/>
                <w:b/>
                <w:bCs/>
                <w:color w:val="00B050"/>
                <w:sz w:val="52"/>
                <w:szCs w:val="52"/>
              </w:rPr>
              <w:t>】</w:t>
            </w:r>
          </w:p>
        </w:tc>
      </w:tr>
      <w:tr w14:paraId="78A230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643EDFE2">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长沙/韶山/天门山-玻璃栈道/张家界/袁家界/金鞭溪/芙蓉镇/玻璃桥/宝峰湖/凤凰古城6日游</w:t>
            </w:r>
          </w:p>
        </w:tc>
      </w:tr>
      <w:tr w14:paraId="1C0000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401A2BB3">
            <w:pPr>
              <w:jc w:val="both"/>
              <w:rPr>
                <w:rFonts w:hint="eastAsia"/>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+【玻璃桥】+【宝峰湖】+【黄龙洞】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652FE356">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783D286B">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30BAF2B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5847C75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60D942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或千古情</w:t>
            </w:r>
            <w:r>
              <w:rPr>
                <w:rFonts w:hint="eastAsia" w:ascii="微软雅黑" w:hAnsi="微软雅黑" w:eastAsia="微软雅黑" w:cs="微软雅黑"/>
                <w:b/>
                <w:bCs/>
                <w:color w:val="FF0000"/>
                <w:kern w:val="0"/>
                <w:sz w:val="21"/>
                <w:szCs w:val="21"/>
                <w:lang w:val="en-US"/>
              </w:rPr>
              <w:t xml:space="preserve"> </w:t>
            </w:r>
          </w:p>
          <w:p w14:paraId="7DD432A6">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BD5EECA">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2CA5975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1B555B7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1312"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49967C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1AAE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BC172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39771C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78B45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E056F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E901F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8827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ABBBC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DB8C8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ACF85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26B0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4A722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DA72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DA40B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CDEBC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DA5A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B50D0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6411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4C5EF0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9F44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BFF51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FCBAA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F43B3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D354B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D4350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980D2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730C9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156A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92C9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2FF77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5E5C4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659E5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AC0C9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047BA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FF942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宝峰湖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玻璃桥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8F06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F8F3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D5EF0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DED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35161B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1F0B8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D678B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橘子洲</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CE588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D83D8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38174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16F01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0C9E5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B1927FD">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D99C6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D6A0F6A">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65828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485DC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2336"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233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5534A6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E24842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D5B78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B4E8E1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5E7111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212B04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4C914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6B900C5">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45E338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608310">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106C3553">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6A4E3E10">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6D491A8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E75784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0BCF0FE7">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4C6BA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4BD340C">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8480"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07C9A0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69C14E2">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DA6EB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C7E3D43">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0EBC4769">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5E7E7C6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E89ACD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886129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185D32F">
            <w:pPr>
              <w:spacing w:line="360" w:lineRule="exact"/>
              <w:ind w:right="71" w:rightChars="34" w:firstLine="360" w:firstLineChars="200"/>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1DB112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E85CA57">
            <w:pPr>
              <w:pStyle w:val="5"/>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1552"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8"/>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0528"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0"/>
                          <a:stretch>
                            <a:fillRect/>
                          </a:stretch>
                        </pic:blipFill>
                        <pic:spPr>
                          <a:xfrm>
                            <a:off x="0" y="0"/>
                            <a:ext cx="2605405" cy="1651635"/>
                          </a:xfrm>
                          <a:prstGeom prst="rect">
                            <a:avLst/>
                          </a:prstGeom>
                          <a:noFill/>
                          <a:ln>
                            <a:noFill/>
                          </a:ln>
                        </pic:spPr>
                      </pic:pic>
                    </a:graphicData>
                  </a:graphic>
                </wp:anchor>
              </w:drawing>
            </w:r>
          </w:p>
        </w:tc>
      </w:tr>
      <w:tr w14:paraId="203E4E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10F9929">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4A67F4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2FA9430">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9A548F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4BFCB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40D89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3A1D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5B6B2A4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29E4D28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478CAFA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15540C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2D4E9C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宝峰湖</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玻璃桥</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黄龙洞-长沙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DB695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36DD123">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早餐后游 5A景区"空中圣湖""人间瑶池"</w:t>
            </w:r>
            <w:r>
              <w:rPr>
                <w:rFonts w:hint="eastAsia" w:ascii="微软雅黑" w:hAnsi="微软雅黑" w:eastAsia="微软雅黑" w:cs="微软雅黑"/>
                <w:color w:val="FF0000"/>
                <w:sz w:val="21"/>
                <w:szCs w:val="21"/>
                <w:lang w:val="zh-CN" w:eastAsia="zh-CN"/>
              </w:rPr>
              <w:t>【宝峰湖】</w:t>
            </w:r>
            <w:r>
              <w:rPr>
                <w:rFonts w:hint="eastAsia" w:ascii="微软雅黑" w:hAnsi="微软雅黑" w:eastAsia="微软雅黑" w:cs="微软雅黑"/>
                <w:sz w:val="21"/>
                <w:szCs w:val="21"/>
                <w:lang w:val="zh-CN" w:eastAsia="zh-CN"/>
              </w:rPr>
              <w:t>，它是一座高峡平湖，四面青山，一泓碧水，风光旖旎。宝峰湖水深 72 米，长 2.5 公里，以其秀丽的湖光水色与幽野的洞天情趣成为武陵源水景风光的代表之作，电视剧《西游记》中花果山水帘洞外景就拍摄于“奇峰飞瀑”。 在湖中漫游，还可以见到湖心岛上的一些佳景，如“仙女照镜”、“高峡平湖”、“金蟾含月” 也各有特色。两岸美景美不胜收，被称为“世界湖泊经典”。</w:t>
            </w:r>
          </w:p>
          <w:p w14:paraId="6C89EDB6">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赴</w:t>
            </w:r>
            <w:r>
              <w:rPr>
                <w:rFonts w:hint="eastAsia" w:ascii="微软雅黑" w:hAnsi="微软雅黑" w:eastAsia="微软雅黑" w:cs="微软雅黑"/>
                <w:color w:val="FF0000"/>
                <w:sz w:val="21"/>
                <w:szCs w:val="21"/>
                <w:lang w:val="en-US" w:eastAsia="zh-CN"/>
              </w:rPr>
              <w:t>【世界第一玻璃桥·云天渡】</w:t>
            </w:r>
            <w:r>
              <w:rPr>
                <w:rFonts w:hint="eastAsia" w:ascii="微软雅黑" w:hAnsi="微软雅黑" w:eastAsia="微软雅黑" w:cs="微软雅黑"/>
                <w:sz w:val="21"/>
                <w:szCs w:val="21"/>
                <w:lang w:val="en-US" w:eastAsia="zh-CN"/>
              </w:rPr>
              <w:t>（已含门票，赠送上桥鞋套 5 元/人）乘车抵达山顶后，感受全球 最长最高的玻璃桥，云天渡玻璃桥桥长 430 米，距谷底约 400 米，宽 6 米，全部采用 99 块透明玻璃铺设而成。 仰望蓝天白云，俯瞰溪流潺潺，似漫步云端，超脱尘世，忘却凡间。凭身体承受能力体验首座世界第一长的高山峡谷斜拉 玻璃桥奇观，它目前是世界最长、最高的全透明玻璃桥，并创下世界最高最长、首次使用新型复合材料建造桥梁等多项世界之最。</w:t>
            </w:r>
          </w:p>
          <w:p w14:paraId="21BB6FF7">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w:t>
            </w:r>
            <w:bookmarkStart w:id="2" w:name="_GoBack"/>
            <w:bookmarkEnd w:id="2"/>
            <w:r>
              <w:rPr>
                <w:rFonts w:hint="eastAsia" w:ascii="微软雅黑" w:hAnsi="微软雅黑" w:eastAsia="微软雅黑" w:cs="微软雅黑"/>
                <w:kern w:val="2"/>
                <w:sz w:val="21"/>
                <w:szCs w:val="21"/>
                <w:highlight w:val="none"/>
                <w:lang w:val="en-US" w:eastAsia="zh-CN" w:bidi="ar-SA"/>
              </w:rPr>
              <w:t>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tc>
      </w:tr>
      <w:tr w14:paraId="208AD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C2C77AA">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93152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DA29A2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早餐后游览潇湘八景之一的</w:t>
            </w:r>
            <w:r>
              <w:rPr>
                <w:rFonts w:hint="eastAsia" w:ascii="微软雅黑" w:hAnsi="微软雅黑" w:eastAsia="微软雅黑" w:cs="微软雅黑"/>
                <w:color w:val="FF0000"/>
                <w:kern w:val="2"/>
                <w:sz w:val="21"/>
                <w:szCs w:val="21"/>
                <w:highlight w:val="none"/>
                <w:lang w:val="en-US" w:eastAsia="zh-CN" w:bidi="ar-SA"/>
              </w:rPr>
              <w:t>【橘子洲头】（根据航班 不去不退）</w:t>
            </w:r>
            <w:r>
              <w:rPr>
                <w:rFonts w:hint="eastAsia" w:ascii="微软雅黑" w:hAnsi="微软雅黑" w:eastAsia="微软雅黑" w:cs="微软雅黑"/>
                <w:kern w:val="2"/>
                <w:sz w:val="21"/>
                <w:szCs w:val="21"/>
                <w:highlight w:val="none"/>
                <w:lang w:val="en-US" w:eastAsia="zh-CN" w:bidi="ar-SA"/>
              </w:rPr>
              <w:t>“独立寒秋，湘江北去，橘子洲头，看万山红遍，层林尽染；漫江碧透，百舸争流…”，园中游览默认步行，游客也可根据自身身体状态自费选择乘坐景区小交通。</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52D6C7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1373104">
            <w:pPr>
              <w:spacing w:line="360" w:lineRule="exact"/>
              <w:ind w:firstLine="420" w:firstLineChars="200"/>
              <w:rPr>
                <w:rFonts w:hint="eastAsia" w:ascii="微软雅黑" w:hAnsi="微软雅黑" w:eastAsia="微软雅黑" w:cs="微软雅黑"/>
              </w:rPr>
            </w:pPr>
          </w:p>
        </w:tc>
      </w:tr>
      <w:tr w14:paraId="08C9CB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50224D6">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2F2EF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EDB0F0B">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C3FAD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3401CB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3AFD9B6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张家界国家森林公园、天门山国家森林公园、芙蓉镇，韶山、玻璃桥、宝峰湖</w:t>
            </w:r>
            <w:r>
              <w:rPr>
                <w:rFonts w:hint="eastAsia" w:ascii="微软雅黑" w:hAnsi="微软雅黑" w:eastAsia="微软雅黑" w:cs="微软雅黑"/>
                <w:color w:val="FF0000"/>
                <w:sz w:val="21"/>
                <w:szCs w:val="21"/>
                <w:lang w:val="en-US" w:eastAsia="zh-CN" w:bidi="zh-CN"/>
              </w:rPr>
              <w:t>（所有景点无优无免无退费）</w:t>
            </w:r>
          </w:p>
          <w:p w14:paraId="67DE460B">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7FE3691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6EE66A8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1782042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600FDD0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无超市，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56AB0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FF6536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E7FE1D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198C88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7B7CD3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354677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A42A50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 20-74周岁</w:t>
            </w:r>
          </w:p>
          <w:p w14:paraId="65FE92C2">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 w:val="0"/>
                <w:bCs w:val="0"/>
                <w:kern w:val="15"/>
                <w:szCs w:val="21"/>
                <w:lang w:bidi="ar"/>
              </w:rPr>
            </w:pPr>
            <w:r>
              <w:rPr>
                <w:rFonts w:hint="eastAsia" w:ascii="微软雅黑" w:hAnsi="微软雅黑" w:eastAsia="微软雅黑" w:cs="微软雅黑"/>
                <w:b w:val="0"/>
                <w:bCs w:val="0"/>
                <w:kern w:val="15"/>
                <w:szCs w:val="21"/>
                <w:lang w:val="en-US" w:eastAsia="zh-CN" w:bidi="ar"/>
              </w:rPr>
              <w:t>1、</w:t>
            </w:r>
            <w:r>
              <w:rPr>
                <w:rFonts w:hint="eastAsia" w:ascii="微软雅黑" w:hAnsi="微软雅黑" w:eastAsia="微软雅黑" w:cs="微软雅黑"/>
                <w:b w:val="0"/>
                <w:bCs w:val="0"/>
                <w:kern w:val="15"/>
                <w:szCs w:val="21"/>
                <w:lang w:bidi="ar"/>
              </w:rPr>
              <w:t>20岁以下、70岁以上需正常年龄陪同，75岁以上谨慎参加此线路！</w:t>
            </w:r>
          </w:p>
          <w:p w14:paraId="0524FD00">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 w:val="0"/>
                <w:bCs w:val="0"/>
                <w:kern w:val="15"/>
                <w:szCs w:val="21"/>
                <w:lang w:bidi="ar"/>
              </w:rPr>
            </w:pPr>
            <w:r>
              <w:rPr>
                <w:rFonts w:hint="eastAsia" w:ascii="微软雅黑" w:hAnsi="微软雅黑" w:eastAsia="微软雅黑" w:cs="微软雅黑"/>
                <w:b w:val="0"/>
                <w:bCs w:val="0"/>
                <w:kern w:val="15"/>
                <w:szCs w:val="21"/>
                <w:lang w:val="en-US" w:eastAsia="zh-CN" w:bidi="ar"/>
              </w:rPr>
              <w:t>2、</w:t>
            </w:r>
            <w:r>
              <w:rPr>
                <w:rFonts w:hint="eastAsia" w:ascii="微软雅黑" w:hAnsi="微软雅黑" w:eastAsia="微软雅黑" w:cs="微软雅黑"/>
                <w:b w:val="0"/>
                <w:bCs w:val="0"/>
                <w:kern w:val="15"/>
                <w:szCs w:val="21"/>
                <w:lang w:bidi="ar"/>
              </w:rPr>
              <w:t>孩童最大接受1带2，即一个正常年龄段最多带2位孩童！</w:t>
            </w:r>
          </w:p>
          <w:p w14:paraId="345AB9E7">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left="0" w:leftChars="0" w:right="-1202" w:firstLine="0" w:firstLineChars="0"/>
              <w:textAlignment w:val="auto"/>
              <w:rPr>
                <w:rFonts w:hint="eastAsia" w:ascii="微软雅黑" w:hAnsi="微软雅黑" w:eastAsia="微软雅黑" w:cs="微软雅黑"/>
                <w:b w:val="0"/>
                <w:bCs w:val="0"/>
                <w:kern w:val="15"/>
                <w:sz w:val="21"/>
                <w:szCs w:val="21"/>
                <w:lang w:val="en-US" w:eastAsia="zh-CN" w:bidi="ar"/>
              </w:rPr>
            </w:pPr>
            <w:r>
              <w:rPr>
                <w:rFonts w:hint="eastAsia" w:ascii="微软雅黑" w:hAnsi="微软雅黑" w:eastAsia="微软雅黑" w:cs="微软雅黑"/>
                <w:b w:val="0"/>
                <w:bCs w:val="0"/>
                <w:kern w:val="15"/>
                <w:sz w:val="21"/>
                <w:szCs w:val="21"/>
                <w:lang w:val="en-US" w:eastAsia="zh-CN" w:bidi="ar"/>
              </w:rPr>
              <w:t>同组年纪全部为26周岁以下或者同组70岁以上、单男单女、全男附加费300元/人;</w:t>
            </w:r>
          </w:p>
          <w:p w14:paraId="6AE2BC8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right="-1202" w:right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color w:val="FF0000"/>
                <w:kern w:val="15"/>
                <w:szCs w:val="21"/>
                <w:lang w:val="en-US" w:eastAsia="zh-CN" w:bidi="ar"/>
              </w:rPr>
              <w:t>4、</w:t>
            </w:r>
            <w:r>
              <w:rPr>
                <w:rFonts w:hint="eastAsia" w:ascii="微软雅黑" w:hAnsi="微软雅黑" w:eastAsia="微软雅黑" w:cs="微软雅黑"/>
                <w:b w:val="0"/>
                <w:bCs w:val="0"/>
                <w:color w:val="FF0000"/>
                <w:kern w:val="15"/>
                <w:szCs w:val="21"/>
                <w:lang w:bidi="ar"/>
              </w:rPr>
              <w:t>东北三省市场（吉林、黑龙江、辽宁）需要增加200元/人</w:t>
            </w:r>
            <w:r>
              <w:rPr>
                <w:rFonts w:hint="eastAsia" w:ascii="微软雅黑" w:hAnsi="微软雅黑" w:eastAsia="微软雅黑" w:cs="微软雅黑"/>
                <w:b w:val="0"/>
                <w:bCs w:val="0"/>
                <w:color w:val="FF0000"/>
                <w:sz w:val="21"/>
                <w:szCs w:val="22"/>
                <w:lang w:val="en-US" w:eastAsia="zh-CN" w:bidi="zh-CN"/>
              </w:rPr>
              <w:t>、</w:t>
            </w:r>
          </w:p>
          <w:p w14:paraId="48F32462">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548DD4"/>
                <w:sz w:val="21"/>
                <w:szCs w:val="21"/>
              </w:rPr>
            </w:pPr>
            <w:r>
              <w:rPr>
                <w:rFonts w:hint="eastAsia" w:ascii="微软雅黑" w:hAnsi="微软雅黑" w:eastAsia="微软雅黑" w:cs="微软雅黑"/>
                <w:b w:val="0"/>
                <w:bCs w:val="0"/>
                <w:color w:val="548DD4"/>
                <w:sz w:val="21"/>
                <w:szCs w:val="21"/>
                <w:lang w:val="en-US" w:eastAsia="zh-CN"/>
              </w:rPr>
              <w:t>5、</w:t>
            </w:r>
            <w:r>
              <w:rPr>
                <w:rFonts w:hint="eastAsia" w:ascii="微软雅黑" w:hAnsi="微软雅黑" w:eastAsia="微软雅黑" w:cs="微软雅黑"/>
                <w:b w:val="0"/>
                <w:bCs w:val="0"/>
                <w:color w:val="548DD4"/>
                <w:sz w:val="21"/>
                <w:szCs w:val="21"/>
              </w:rPr>
              <w:t>聋哑人士，行动不便者，孕妇，旅游同行及家属（正地接），导游证，记者，回民 ，纯学生，75岁以上拒绝报名（特殊情况另议）</w:t>
            </w:r>
          </w:p>
          <w:p w14:paraId="258D9902">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val="0"/>
                <w:bCs w:val="0"/>
                <w:lang w:val="en-US" w:eastAsia="zh-CN"/>
              </w:rPr>
              <w:t>6、若因客人任何自身原因导致不能正常走完行程或者提前离团，需补加团费800元/人</w:t>
            </w:r>
          </w:p>
        </w:tc>
      </w:tr>
      <w:tr w14:paraId="303EAC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9F83FA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FE333CB">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70EEB629">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6A5588F0">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04096B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27FCD7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EFE547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29193B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C94C5F9">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8F4FFE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6977DA1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441FD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1455551C">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74167D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860C02">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5538717E">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5CD4E0C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1B637E9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2FDD6C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1CE8AB1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78EB484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3FFFB8A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5E8330E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C03EE7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71710D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589A9675">
      <w:pPr>
        <w:pStyle w:val="5"/>
        <w:jc w:val="both"/>
        <w:rPr>
          <w:rFonts w:hint="eastAsia" w:ascii="宋体" w:hAnsi="宋体" w:cs="宋体"/>
          <w:kern w:val="0"/>
          <w:sz w:val="18"/>
          <w:szCs w:val="18"/>
          <w:lang w:eastAsia="zh-CN"/>
        </w:rPr>
      </w:pPr>
    </w:p>
    <w:p w14:paraId="5AC3BF9D">
      <w:pPr>
        <w:pStyle w:val="5"/>
        <w:rPr>
          <w:rFonts w:hint="eastAsia"/>
          <w:lang w:eastAsia="zh-CN"/>
        </w:rPr>
      </w:pPr>
    </w:p>
    <w:p w14:paraId="1D28FA85">
      <w:pPr>
        <w:pStyle w:val="5"/>
        <w:rPr>
          <w:rFonts w:hint="eastAsia"/>
          <w:lang w:eastAsia="zh-CN"/>
        </w:rPr>
      </w:pPr>
    </w:p>
    <w:p w14:paraId="1518C385">
      <w:pPr>
        <w:pStyle w:val="5"/>
        <w:rPr>
          <w:rFonts w:hint="eastAsia"/>
          <w:lang w:eastAsia="zh-CN"/>
        </w:rPr>
      </w:pPr>
    </w:p>
    <w:p w14:paraId="6D635C87">
      <w:pPr>
        <w:pStyle w:val="5"/>
        <w:rPr>
          <w:rFonts w:hint="eastAsia"/>
          <w:lang w:eastAsia="zh-CN"/>
        </w:rPr>
      </w:pPr>
    </w:p>
    <w:p w14:paraId="4EB97151">
      <w:pPr>
        <w:pStyle w:val="5"/>
        <w:rPr>
          <w:rFonts w:hint="eastAsia"/>
          <w:lang w:eastAsia="zh-CN"/>
        </w:rPr>
      </w:pPr>
    </w:p>
    <w:p w14:paraId="52B7ED42">
      <w:pPr>
        <w:pStyle w:val="5"/>
        <w:rPr>
          <w:rFonts w:hint="eastAsia"/>
          <w:lang w:eastAsia="zh-CN"/>
        </w:rPr>
      </w:pPr>
    </w:p>
    <w:p w14:paraId="21976BA3">
      <w:pPr>
        <w:pStyle w:val="5"/>
        <w:rPr>
          <w:rFonts w:hint="eastAsia"/>
          <w:lang w:eastAsia="zh-CN"/>
        </w:rPr>
      </w:pPr>
    </w:p>
    <w:p w14:paraId="27698C5E">
      <w:pPr>
        <w:pStyle w:val="5"/>
        <w:rPr>
          <w:rFonts w:hint="eastAsia"/>
          <w:lang w:eastAsia="zh-CN"/>
        </w:rPr>
      </w:pPr>
    </w:p>
    <w:p w14:paraId="7A9470DD">
      <w:pPr>
        <w:pStyle w:val="5"/>
        <w:rPr>
          <w:rFonts w:hint="eastAsia"/>
          <w:lang w:eastAsia="zh-CN"/>
        </w:rPr>
      </w:pPr>
    </w:p>
    <w:p w14:paraId="3F67FFB6">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思源黑体 CN Heavy">
    <w:panose1 w:val="020B0A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B30A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4FA38">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AC07">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4DEAB">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076D5">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6F63F">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1E254A9"/>
    <w:rsid w:val="12361B78"/>
    <w:rsid w:val="12EF0A4F"/>
    <w:rsid w:val="13371388"/>
    <w:rsid w:val="1356560D"/>
    <w:rsid w:val="136A4169"/>
    <w:rsid w:val="13EC55EC"/>
    <w:rsid w:val="13F66591"/>
    <w:rsid w:val="14321F2A"/>
    <w:rsid w:val="143C7B63"/>
    <w:rsid w:val="150D1EBE"/>
    <w:rsid w:val="159C58D1"/>
    <w:rsid w:val="15B0279D"/>
    <w:rsid w:val="15B36F61"/>
    <w:rsid w:val="15C21060"/>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B62655"/>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B221DB8"/>
    <w:rsid w:val="7B2A1EE8"/>
    <w:rsid w:val="7BDE4262"/>
    <w:rsid w:val="7D027BEA"/>
    <w:rsid w:val="7D1A024F"/>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qFormat/>
    <w:uiPriority w:val="0"/>
    <w:rPr>
      <w:rFonts w:ascii="Calibri" w:hAnsi="Calibri"/>
      <w:kern w:val="2"/>
      <w:sz w:val="18"/>
      <w:szCs w:val="18"/>
    </w:rPr>
  </w:style>
  <w:style w:type="character" w:customStyle="1" w:styleId="18">
    <w:name w:val="无"/>
    <w:basedOn w:val="12"/>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6206</Words>
  <Characters>6310</Characters>
  <Lines>41</Lines>
  <Paragraphs>11</Paragraphs>
  <TotalTime>1</TotalTime>
  <ScaleCrop>false</ScaleCrop>
  <LinksUpToDate>false</LinksUpToDate>
  <CharactersWithSpaces>6606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2025-04-13T06:18:44Z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1F17065251154FA791E92B420C27580B_13</vt:lpwstr>
  </property>
  <property fmtid="{D5CDD505-2E9C-101B-9397-08002B2CF9AE}" pid="5" name="KSOTemplateDocerSaveRecord">
    <vt:lpwstr>eyJoZGlkIjoiOGUzZjU4MjBiOThiOTc1ZDI1NDVlOGQ2YzEwNmNmMGQiLCJ1c2VySWQiOiIyODEyNzY2NDcifQ==</vt:lpwstr>
  </property>
</Properties>
</file>