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2EB92942">
      <w:pPr>
        <w:tabs>
          <w:tab w:val="left" w:pos="8583"/>
        </w:tabs>
        <w:jc w:val="left"/>
        <w:rPr>
          <w:rFonts w:hint="eastAsia" w:eastAsia="宋体"/>
          <w:sz w:val="18"/>
          <w:szCs w:val="18"/>
          <w:lang w:eastAsia="zh-CN"/>
        </w:rPr>
      </w:pPr>
      <w:r>
        <w:rPr>
          <w:rFonts w:hint="eastAsia" w:eastAsia="宋体"/>
          <w:sz w:val="18"/>
          <w:szCs w:val="18"/>
          <w:lang w:eastAsia="zh-CN"/>
        </w:rPr>
        <w:drawing>
          <wp:anchor distT="0" distB="0" distL="114300" distR="114300" simplePos="0" relativeHeight="251660288" behindDoc="0" locked="0" layoutInCell="1" allowOverlap="1">
            <wp:simplePos x="0" y="0"/>
            <wp:positionH relativeFrom="column">
              <wp:posOffset>-215900</wp:posOffset>
            </wp:positionH>
            <wp:positionV relativeFrom="paragraph">
              <wp:posOffset>-380365</wp:posOffset>
            </wp:positionV>
            <wp:extent cx="7566025" cy="10675620"/>
            <wp:effectExtent l="0" t="0" r="15875" b="11430"/>
            <wp:wrapTopAndBottom/>
            <wp:docPr id="8" name="图片 8" descr="湘全景10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湘全景10月"/>
                    <pic:cNvPicPr>
                      <a:picLocks noChangeAspect="1"/>
                    </pic:cNvPicPr>
                  </pic:nvPicPr>
                  <pic:blipFill>
                    <a:blip r:embed="rId7"/>
                    <a:stretch>
                      <a:fillRect/>
                    </a:stretch>
                  </pic:blipFill>
                  <pic:spPr>
                    <a:xfrm>
                      <a:off x="0" y="0"/>
                      <a:ext cx="7566025" cy="10675620"/>
                    </a:xfrm>
                    <a:prstGeom prst="rect">
                      <a:avLst/>
                    </a:prstGeom>
                  </pic:spPr>
                </pic:pic>
              </a:graphicData>
            </a:graphic>
          </wp:anchor>
        </w:drawing>
      </w:r>
      <w:r>
        <w:rPr>
          <w:rFonts w:hint="eastAsia"/>
          <w:sz w:val="18"/>
          <w:szCs w:val="18"/>
          <w:lang w:val="en-US" w:eastAsia="zh-CN"/>
        </w:rPr>
        <w:t xml:space="preserve">            </w:t>
      </w:r>
    </w:p>
    <w:p w14:paraId="69037C25">
      <w:pPr>
        <w:pStyle w:val="10"/>
        <w:ind w:left="0" w:leftChars="0" w:firstLine="0" w:firstLineChars="0"/>
        <w:rPr>
          <w:rFonts w:hint="eastAsia"/>
          <w:lang w:eastAsia="zh-CN"/>
        </w:rPr>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54489088">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楷体_GB2312" w:eastAsia="楷体_GB2312"/>
          <w:b/>
          <w:color w:val="FF6600"/>
          <w:sz w:val="36"/>
          <w:szCs w:val="36"/>
        </w:rPr>
        <w:drawing>
          <wp:anchor distT="0" distB="0" distL="114300" distR="114300" simplePos="0" relativeHeight="251659264" behindDoc="1" locked="0" layoutInCell="1" allowOverlap="1">
            <wp:simplePos x="0" y="0"/>
            <wp:positionH relativeFrom="column">
              <wp:posOffset>-215900</wp:posOffset>
            </wp:positionH>
            <wp:positionV relativeFrom="paragraph">
              <wp:posOffset>5507355</wp:posOffset>
            </wp:positionV>
            <wp:extent cx="7585075" cy="10727690"/>
            <wp:effectExtent l="0" t="0" r="15875" b="16510"/>
            <wp:wrapTight wrapText="bothSides">
              <wp:wrapPolygon>
                <wp:start x="0" y="0"/>
                <wp:lineTo x="0" y="21557"/>
                <wp:lineTo x="21537" y="21557"/>
                <wp:lineTo x="21537" y="0"/>
                <wp:lineTo x="0" y="0"/>
              </wp:wrapPolygon>
            </wp:wrapTight>
            <wp:docPr id="3" name="图片 8" descr="C:/Users/12703/Desktop/20240408桌面文件/三湘/寻梦湖南-蓝色版/画板 1 拷贝.png画板 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descr="C:/Users/12703/Desktop/20240408桌面文件/三湘/寻梦湖南-蓝色版/画板 1 拷贝.png画板 1 拷贝"/>
                    <pic:cNvPicPr>
                      <a:picLocks noChangeAspect="1"/>
                    </pic:cNvPicPr>
                  </pic:nvPicPr>
                  <pic:blipFill>
                    <a:blip r:embed="rId8"/>
                    <a:srcRect l="3" r="3"/>
                    <a:stretch>
                      <a:fillRect/>
                    </a:stretch>
                  </pic:blipFill>
                  <pic:spPr>
                    <a:xfrm>
                      <a:off x="0" y="0"/>
                      <a:ext cx="7585075" cy="10727690"/>
                    </a:xfrm>
                    <a:prstGeom prst="rect">
                      <a:avLst/>
                    </a:prstGeom>
                    <a:noFill/>
                    <a:ln>
                      <a:noFill/>
                    </a:ln>
                  </pic:spPr>
                </pic:pic>
              </a:graphicData>
            </a:graphic>
          </wp:anchor>
        </w:drawing>
      </w:r>
    </w:p>
    <w:p w14:paraId="5C5FBC03">
      <w:pPr>
        <w:pStyle w:val="10"/>
        <w:ind w:left="0" w:leftChars="0" w:firstLine="0" w:firstLineChars="0"/>
        <w:rPr>
          <w:rFonts w:hint="eastAsia"/>
          <w:lang w:eastAsia="zh-CN"/>
        </w:rPr>
      </w:pPr>
      <w:r>
        <w:drawing>
          <wp:anchor distT="0" distB="0" distL="0" distR="0" simplePos="0" relativeHeight="251664384" behindDoc="1" locked="0" layoutInCell="1" allowOverlap="1">
            <wp:simplePos x="0" y="0"/>
            <wp:positionH relativeFrom="page">
              <wp:posOffset>10160</wp:posOffset>
            </wp:positionH>
            <wp:positionV relativeFrom="page">
              <wp:posOffset>0</wp:posOffset>
            </wp:positionV>
            <wp:extent cx="7550150" cy="10686415"/>
            <wp:effectExtent l="0" t="0" r="0" b="0"/>
            <wp:wrapNone/>
            <wp:docPr id="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png"/>
                    <pic:cNvPicPr>
                      <a:picLocks noChangeAspect="1"/>
                    </pic:cNvPicPr>
                  </pic:nvPicPr>
                  <pic:blipFill>
                    <a:blip r:embed="rId9" cstate="print"/>
                    <a:stretch>
                      <a:fillRect/>
                    </a:stretch>
                  </pic:blipFill>
                  <pic:spPr>
                    <a:xfrm>
                      <a:off x="0" y="0"/>
                      <a:ext cx="7550150" cy="10686415"/>
                    </a:xfrm>
                    <a:prstGeom prst="rect">
                      <a:avLst/>
                    </a:prstGeom>
                  </pic:spPr>
                </pic:pic>
              </a:graphicData>
            </a:graphic>
          </wp:anchor>
        </w:drawing>
      </w:r>
    </w:p>
    <w:p w14:paraId="3382E702">
      <w:pPr>
        <w:pStyle w:val="10"/>
        <w:ind w:left="0" w:leftChars="0" w:firstLine="0" w:firstLineChars="0"/>
        <w:rPr>
          <w:rFonts w:hint="eastAsia"/>
          <w:lang w:eastAsia="zh-CN"/>
        </w:rPr>
      </w:pPr>
    </w:p>
    <w:p w14:paraId="4A99557E">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1323EEB6">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5408"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png"/>
                    <pic:cNvPicPr>
                      <a:picLocks noChangeAspect="1"/>
                    </pic:cNvPicPr>
                  </pic:nvPicPr>
                  <pic:blipFill>
                    <a:blip r:embed="rId10" cstate="print"/>
                    <a:stretch>
                      <a:fillRect/>
                    </a:stretch>
                  </pic:blipFill>
                  <pic:spPr>
                    <a:xfrm>
                      <a:off x="0" y="0"/>
                      <a:ext cx="7550150" cy="10686415"/>
                    </a:xfrm>
                    <a:prstGeom prst="rect">
                      <a:avLst/>
                    </a:prstGeom>
                  </pic:spPr>
                </pic:pic>
              </a:graphicData>
            </a:graphic>
          </wp:anchor>
        </w:drawing>
      </w:r>
    </w:p>
    <w:p w14:paraId="314C86F4">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6432"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1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a:picLocks noChangeAspect="1"/>
                    </pic:cNvPicPr>
                  </pic:nvPicPr>
                  <pic:blipFill>
                    <a:blip r:embed="rId11" cstate="print"/>
                    <a:stretch>
                      <a:fillRect/>
                    </a:stretch>
                  </pic:blipFill>
                  <pic:spPr>
                    <a:xfrm>
                      <a:off x="0" y="0"/>
                      <a:ext cx="7550150" cy="10686415"/>
                    </a:xfrm>
                    <a:prstGeom prst="rect">
                      <a:avLst/>
                    </a:prstGeom>
                  </pic:spPr>
                </pic:pic>
              </a:graphicData>
            </a:graphic>
          </wp:anchor>
        </w:drawing>
      </w:r>
    </w:p>
    <w:p w14:paraId="2FC3882E">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7456"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png"/>
                    <pic:cNvPicPr>
                      <a:picLocks noChangeAspect="1"/>
                    </pic:cNvPicPr>
                  </pic:nvPicPr>
                  <pic:blipFill>
                    <a:blip r:embed="rId12" cstate="print"/>
                    <a:stretch>
                      <a:fillRect/>
                    </a:stretch>
                  </pic:blipFill>
                  <pic:spPr>
                    <a:xfrm>
                      <a:off x="0" y="0"/>
                      <a:ext cx="7550150" cy="10672445"/>
                    </a:xfrm>
                    <a:prstGeom prst="rect">
                      <a:avLst/>
                    </a:prstGeom>
                  </pic:spPr>
                </pic:pic>
              </a:graphicData>
            </a:graphic>
          </wp:anchor>
        </w:drawing>
      </w:r>
    </w:p>
    <w:p w14:paraId="540EA3C8">
      <w:pPr>
        <w:pStyle w:val="10"/>
        <w:ind w:left="0" w:leftChars="0" w:firstLine="0" w:firstLineChars="0"/>
        <w:rPr>
          <w:rFonts w:hint="eastAsia"/>
          <w:lang w:eastAsia="zh-CN"/>
        </w:rPr>
      </w:pPr>
      <w:r>
        <w:drawing>
          <wp:anchor distT="0" distB="0" distL="0" distR="0" simplePos="0" relativeHeight="251668480"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8"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png"/>
                    <pic:cNvPicPr>
                      <a:picLocks noChangeAspect="1"/>
                    </pic:cNvPicPr>
                  </pic:nvPicPr>
                  <pic:blipFill>
                    <a:blip r:embed="rId13" cstate="print"/>
                    <a:stretch>
                      <a:fillRect/>
                    </a:stretch>
                  </pic:blipFill>
                  <pic:spPr>
                    <a:xfrm>
                      <a:off x="0" y="0"/>
                      <a:ext cx="7550150" cy="10672445"/>
                    </a:xfrm>
                    <a:prstGeom prst="rect">
                      <a:avLst/>
                    </a:prstGeom>
                  </pic:spPr>
                </pic:pic>
              </a:graphicData>
            </a:graphic>
          </wp:anchor>
        </w:drawing>
      </w:r>
    </w:p>
    <w:p w14:paraId="4FB619E5">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0EBE4069">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9504" behindDoc="1" locked="0" layoutInCell="1" allowOverlap="1">
            <wp:simplePos x="0" y="0"/>
            <wp:positionH relativeFrom="page">
              <wp:posOffset>10160</wp:posOffset>
            </wp:positionH>
            <wp:positionV relativeFrom="page">
              <wp:posOffset>0</wp:posOffset>
            </wp:positionV>
            <wp:extent cx="7550150" cy="10672445"/>
            <wp:effectExtent l="0" t="0" r="8890" b="10795"/>
            <wp:wrapNone/>
            <wp:docPr id="1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9.png"/>
                    <pic:cNvPicPr>
                      <a:picLocks noChangeAspect="1"/>
                    </pic:cNvPicPr>
                  </pic:nvPicPr>
                  <pic:blipFill>
                    <a:blip r:embed="rId14" cstate="print"/>
                    <a:stretch>
                      <a:fillRect/>
                    </a:stretch>
                  </pic:blipFill>
                  <pic:spPr>
                    <a:xfrm>
                      <a:off x="0" y="0"/>
                      <a:ext cx="7550150" cy="10672445"/>
                    </a:xfrm>
                    <a:prstGeom prst="rect">
                      <a:avLst/>
                    </a:prstGeom>
                  </pic:spPr>
                </pic:pic>
              </a:graphicData>
            </a:graphic>
          </wp:anchor>
        </w:drawing>
      </w:r>
    </w:p>
    <w:tbl>
      <w:tblPr>
        <w:tblStyle w:val="11"/>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17D383A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tcPr>
          <w:p w14:paraId="3A5E731C">
            <w:pPr>
              <w:pStyle w:val="6"/>
              <w:jc w:val="both"/>
              <w:rPr>
                <w:rFonts w:hint="eastAsia" w:ascii="宋体" w:hAnsi="宋体" w:cs="宋体"/>
                <w:kern w:val="0"/>
                <w:sz w:val="18"/>
                <w:szCs w:val="18"/>
                <w:lang w:eastAsia="zh-CN"/>
              </w:rPr>
            </w:pPr>
          </w:p>
          <w:p w14:paraId="227A764E">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湘全景</w:t>
            </w:r>
            <w:r>
              <w:rPr>
                <w:rFonts w:hint="eastAsia" w:ascii="微软雅黑" w:hAnsi="微软雅黑" w:eastAsia="微软雅黑" w:cs="微软雅黑"/>
                <w:b/>
                <w:bCs/>
                <w:color w:val="00B050"/>
                <w:sz w:val="52"/>
                <w:szCs w:val="52"/>
              </w:rPr>
              <w:t>】</w:t>
            </w:r>
          </w:p>
        </w:tc>
      </w:tr>
      <w:tr w14:paraId="127A5D4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tcPr>
          <w:p w14:paraId="518BDE2B">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长沙/韶山/天门山-玻璃栈道/森林公园/袁家界/金鞭溪/土司府城/凤凰古城6日游</w:t>
            </w:r>
          </w:p>
        </w:tc>
      </w:tr>
      <w:tr w14:paraId="644317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tcPr>
          <w:p w14:paraId="537D9E0E">
            <w:pPr>
              <w:jc w:val="both"/>
              <w:rPr>
                <w:rFonts w:hint="eastAsia" w:ascii="微软雅黑" w:hAnsi="微软雅黑" w:eastAsia="微软雅黑" w:cs="微软雅黑"/>
                <w:b/>
                <w:bCs/>
                <w:color w:val="00B050"/>
                <w:sz w:val="30"/>
                <w:szCs w:val="30"/>
                <w:lang w:val="en-US" w:eastAsia="zh-CN"/>
              </w:rPr>
            </w:pPr>
            <w:r>
              <w:rPr>
                <w:rFonts w:hint="eastAsia"/>
                <w:b/>
                <w:color w:val="FF0000"/>
                <w:sz w:val="28"/>
                <w:szCs w:val="28"/>
              </w:rPr>
              <w:drawing>
                <wp:inline distT="0" distB="0" distL="114300" distR="114300">
                  <wp:extent cx="7300595" cy="1096645"/>
                  <wp:effectExtent l="0" t="0" r="14605" b="635"/>
                  <wp:docPr id="1"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体验"/>
                          <pic:cNvPicPr>
                            <a:picLocks noChangeAspect="1"/>
                          </pic:cNvPicPr>
                        </pic:nvPicPr>
                        <pic:blipFill>
                          <a:blip r:embed="rId15" cstate="print"/>
                          <a:stretch>
                            <a:fillRect/>
                          </a:stretch>
                        </pic:blipFill>
                        <pic:spPr>
                          <a:xfrm>
                            <a:off x="0" y="0"/>
                            <a:ext cx="7300595" cy="1096645"/>
                          </a:xfrm>
                          <a:prstGeom prst="rect">
                            <a:avLst/>
                          </a:prstGeom>
                          <a:noFill/>
                          <a:ln>
                            <a:noFill/>
                          </a:ln>
                        </pic:spPr>
                      </pic:pic>
                    </a:graphicData>
                  </a:graphic>
                </wp:inline>
              </w:drawing>
            </w:r>
          </w:p>
          <w:p w14:paraId="7E7FFC63">
            <w:pPr>
              <w:rPr>
                <w:rFonts w:hint="eastAsia"/>
                <w:b/>
                <w:color w:val="FF0000"/>
                <w:sz w:val="28"/>
                <w:szCs w:val="28"/>
              </w:rPr>
            </w:pPr>
            <w:r>
              <w:rPr>
                <w:rFonts w:hint="eastAsia" w:ascii="微软雅黑" w:hAnsi="微软雅黑" w:eastAsia="微软雅黑" w:cs="微软雅黑"/>
                <w:b/>
                <w:color w:val="FFFFFF"/>
                <w:sz w:val="32"/>
                <w:szCs w:val="32"/>
                <w:highlight w:val="red"/>
              </w:rPr>
              <w:t>【抖音网红】</w:t>
            </w:r>
            <w:r>
              <w:rPr>
                <w:rFonts w:hint="eastAsia" w:ascii="宋体" w:hAnsi="宋体" w:cs="宋体"/>
                <w:b/>
                <w:color w:val="FF0000"/>
                <w:sz w:val="28"/>
                <w:szCs w:val="28"/>
              </w:rPr>
              <w:t>【天门山玻璃栈道】+【</w:t>
            </w:r>
            <w:r>
              <w:rPr>
                <w:rFonts w:hint="eastAsia"/>
                <w:b/>
                <w:color w:val="FF0000"/>
                <w:sz w:val="24"/>
              </w:rPr>
              <w:t>张家界国家森林公园</w:t>
            </w:r>
            <w:r>
              <w:rPr>
                <w:rFonts w:hint="eastAsia" w:ascii="宋体" w:hAnsi="宋体" w:cs="宋体"/>
                <w:b/>
                <w:color w:val="FF0000"/>
                <w:sz w:val="28"/>
                <w:szCs w:val="28"/>
              </w:rPr>
              <w:t>】</w:t>
            </w:r>
            <w:r>
              <w:rPr>
                <w:rFonts w:hint="eastAsia"/>
                <w:b/>
                <w:color w:val="FF0000"/>
                <w:sz w:val="28"/>
                <w:szCs w:val="28"/>
              </w:rPr>
              <w:t>当前最热爆的景区，绝不留遗憾！</w:t>
            </w:r>
          </w:p>
          <w:p w14:paraId="53D7761D">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★超划算1：湖南经典代表性景区一网打尽，尊贵而不贵，物超所值，聚划算！</w:t>
            </w:r>
          </w:p>
          <w:p w14:paraId="5267FADD">
            <w:pPr>
              <w:pStyle w:val="3"/>
              <w:keepNext w:val="0"/>
              <w:keepLines w:val="0"/>
              <w:pageBreakBefore w:val="0"/>
              <w:widowControl w:val="0"/>
              <w:kinsoku/>
              <w:wordWrap/>
              <w:overflowPunct/>
              <w:topLinePunct w:val="0"/>
              <w:autoSpaceDE/>
              <w:autoSpaceDN/>
              <w:bidi w:val="0"/>
              <w:adjustRightInd/>
              <w:snapToGrid w:val="0"/>
              <w:spacing w:line="360" w:lineRule="exact"/>
              <w:ind w:left="1680" w:leftChars="200" w:hanging="1260" w:hangingChars="600"/>
              <w:textAlignment w:val="auto"/>
              <w:rPr>
                <w:rFonts w:ascii="微软雅黑" w:hAnsi="微软雅黑" w:eastAsia="微软雅黑" w:cs="微软雅黑"/>
              </w:rPr>
            </w:pPr>
            <w:r>
              <w:rPr>
                <w:rFonts w:hint="eastAsia" w:ascii="微软雅黑" w:hAnsi="微软雅黑" w:eastAsia="微软雅黑" w:cs="微软雅黑"/>
              </w:rPr>
              <w:t>★超划算2：自然遗产及非物质文化遗产的双重组合，纯粹的健康清肺养生之旅：空气新鲜，水质纯净，负氧</w:t>
            </w:r>
          </w:p>
          <w:p w14:paraId="776B3EF1">
            <w:pPr>
              <w:pStyle w:val="3"/>
              <w:keepNext w:val="0"/>
              <w:keepLines w:val="0"/>
              <w:pageBreakBefore w:val="0"/>
              <w:widowControl w:val="0"/>
              <w:kinsoku/>
              <w:wordWrap/>
              <w:overflowPunct/>
              <w:topLinePunct w:val="0"/>
              <w:autoSpaceDE/>
              <w:autoSpaceDN/>
              <w:bidi w:val="0"/>
              <w:adjustRightInd/>
              <w:snapToGrid w:val="0"/>
              <w:spacing w:line="360" w:lineRule="exact"/>
              <w:ind w:firstLine="1680" w:firstLineChars="800"/>
              <w:textAlignment w:val="auto"/>
              <w:rPr>
                <w:rFonts w:ascii="微软雅黑" w:hAnsi="微软雅黑" w:eastAsia="微软雅黑" w:cs="微软雅黑"/>
              </w:rPr>
            </w:pPr>
            <w:r>
              <w:rPr>
                <w:rFonts w:hint="eastAsia" w:ascii="微软雅黑" w:hAnsi="微软雅黑" w:eastAsia="微软雅黑" w:cs="微软雅黑"/>
              </w:rPr>
              <w:t>离子含量极高，是健康休闲、清肺养生的最佳去处。</w:t>
            </w:r>
          </w:p>
          <w:p w14:paraId="45488603">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★超划算3：高质低价、绝不推荐自费景点，让您玩得更加舒心！</w:t>
            </w:r>
          </w:p>
          <w:p w14:paraId="6FC5FDD3">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b/>
                <w:color w:val="FF0000"/>
                <w:kern w:val="0"/>
              </w:rPr>
            </w:pPr>
            <w:r>
              <w:rPr>
                <w:rFonts w:hint="eastAsia" w:ascii="微软雅黑" w:hAnsi="微软雅黑" w:eastAsia="微软雅黑" w:cs="微软雅黑"/>
              </w:rPr>
              <w:t>★超划算4：全程赠送三个特色餐</w:t>
            </w:r>
            <w:r>
              <w:rPr>
                <w:rFonts w:hint="eastAsia" w:ascii="微软雅黑" w:hAnsi="微软雅黑" w:eastAsia="微软雅黑" w:cs="微软雅黑"/>
                <w:b/>
                <w:color w:val="FF0000"/>
                <w:kern w:val="0"/>
              </w:rPr>
              <w:t>（主席宴或者常德湖鱼宴+土家三下锅+苗家特色宴）。</w:t>
            </w:r>
          </w:p>
          <w:p w14:paraId="53E6354F">
            <w:pPr>
              <w:pStyle w:val="3"/>
              <w:keepNext w:val="0"/>
              <w:keepLines w:val="0"/>
              <w:pageBreakBefore w:val="0"/>
              <w:widowControl w:val="0"/>
              <w:kinsoku/>
              <w:wordWrap/>
              <w:overflowPunct/>
              <w:topLinePunct w:val="0"/>
              <w:autoSpaceDE/>
              <w:autoSpaceDN/>
              <w:bidi w:val="0"/>
              <w:adjustRightInd/>
              <w:snapToGrid w:val="0"/>
              <w:spacing w:line="360" w:lineRule="exact"/>
              <w:ind w:left="1890" w:leftChars="200" w:hanging="1470" w:hangingChars="70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5</w:t>
            </w:r>
            <w:r>
              <w:rPr>
                <w:rFonts w:hint="eastAsia" w:ascii="微软雅黑" w:hAnsi="微软雅黑" w:eastAsia="微软雅黑" w:cs="微软雅黑"/>
              </w:rPr>
              <w:t>：行程特别赠送天门山扶梯+玻璃栈道鞋套一次+韶山进园电瓶车+凤凰古城内接驳车。</w:t>
            </w:r>
          </w:p>
          <w:p w14:paraId="4557C3A7">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6</w:t>
            </w:r>
            <w:r>
              <w:rPr>
                <w:rFonts w:hint="eastAsia" w:ascii="微软雅黑" w:hAnsi="微软雅黑" w:eastAsia="微软雅黑" w:cs="微软雅黑"/>
              </w:rPr>
              <w:t>：精选本社优秀导游，全程专注讲解，让您旅途更愉快！</w:t>
            </w:r>
          </w:p>
          <w:p w14:paraId="19075232">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b/>
                <w:bCs/>
                <w:color w:val="FF0000"/>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7</w:t>
            </w:r>
            <w:r>
              <w:rPr>
                <w:rFonts w:hint="eastAsia" w:ascii="微软雅黑" w:hAnsi="微软雅黑" w:eastAsia="微软雅黑" w:cs="微软雅黑"/>
              </w:rPr>
              <w:t>：</w:t>
            </w:r>
            <w:r>
              <w:rPr>
                <w:rFonts w:hint="eastAsia" w:ascii="微软雅黑" w:hAnsi="微软雅黑" w:eastAsia="微软雅黑" w:cs="微软雅黑"/>
                <w:b/>
                <w:bCs/>
                <w:color w:val="FF0000"/>
              </w:rPr>
              <w:t>全程入住当地</w:t>
            </w:r>
            <w:r>
              <w:rPr>
                <w:rFonts w:hint="eastAsia" w:ascii="微软雅黑" w:hAnsi="微软雅黑" w:eastAsia="微软雅黑" w:cs="微软雅黑"/>
                <w:b/>
                <w:bCs/>
                <w:color w:val="FF0000"/>
                <w:lang w:eastAsia="zh-CN"/>
              </w:rPr>
              <w:t>商务</w:t>
            </w:r>
            <w:r>
              <w:rPr>
                <w:rFonts w:hint="eastAsia" w:ascii="微软雅黑" w:hAnsi="微软雅黑" w:eastAsia="微软雅黑" w:cs="微软雅黑"/>
                <w:b/>
                <w:bCs/>
                <w:color w:val="FF0000"/>
              </w:rPr>
              <w:t>型酒店</w:t>
            </w:r>
          </w:p>
          <w:p w14:paraId="4280FC99">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8</w:t>
            </w:r>
            <w:r>
              <w:rPr>
                <w:rFonts w:hint="eastAsia" w:ascii="微软雅黑" w:hAnsi="微软雅黑" w:eastAsia="微软雅黑" w:cs="微软雅黑"/>
              </w:rPr>
              <w:t>：行程中有当天过生日的客人，赠送生日蛋糕或精美礼品一份！</w:t>
            </w:r>
          </w:p>
          <w:p w14:paraId="59E5A6E9">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pPr>
            <w:r>
              <w:rPr>
                <w:rFonts w:hint="eastAsia" w:ascii="微软雅黑" w:hAnsi="微软雅黑" w:eastAsia="微软雅黑" w:cs="微软雅黑"/>
              </w:rPr>
              <w:t>★超划算</w:t>
            </w:r>
            <w:r>
              <w:rPr>
                <w:rFonts w:hint="eastAsia" w:ascii="微软雅黑" w:hAnsi="微软雅黑" w:eastAsia="微软雅黑" w:cs="微软雅黑"/>
                <w:lang w:val="en-US" w:eastAsia="zh-CN"/>
              </w:rPr>
              <w:t>9</w:t>
            </w:r>
            <w:r>
              <w:rPr>
                <w:rFonts w:hint="eastAsia" w:ascii="微软雅黑" w:hAnsi="微软雅黑" w:eastAsia="微软雅黑" w:cs="微软雅黑"/>
              </w:rPr>
              <w:t>：新婚夫妻，本社全程安排最少2晚温馨大床房！需提前告知。</w:t>
            </w:r>
          </w:p>
          <w:p w14:paraId="397C1605">
            <w:pPr>
              <w:pStyle w:val="10"/>
              <w:ind w:left="0" w:leftChars="0" w:firstLine="0" w:firstLineChars="0"/>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inline distT="0" distB="0" distL="114300" distR="114300">
                  <wp:extent cx="7327265" cy="1096645"/>
                  <wp:effectExtent l="0" t="0" r="3175" b="635"/>
                  <wp:docPr id="1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行程"/>
                          <pic:cNvPicPr>
                            <a:picLocks noChangeAspect="1"/>
                          </pic:cNvPicPr>
                        </pic:nvPicPr>
                        <pic:blipFill>
                          <a:blip r:embed="rId16" cstate="print"/>
                          <a:stretch>
                            <a:fillRect/>
                          </a:stretch>
                        </pic:blipFill>
                        <pic:spPr>
                          <a:xfrm>
                            <a:off x="0" y="0"/>
                            <a:ext cx="7327265" cy="1096645"/>
                          </a:xfrm>
                          <a:prstGeom prst="rect">
                            <a:avLst/>
                          </a:prstGeom>
                          <a:noFill/>
                          <a:ln>
                            <a:noFill/>
                          </a:ln>
                        </pic:spPr>
                      </pic:pic>
                    </a:graphicData>
                  </a:graphic>
                </wp:inline>
              </w:drawing>
            </w:r>
          </w:p>
        </w:tc>
      </w:tr>
      <w:tr w14:paraId="6DD035A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E41965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51AB8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18B6CEA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0B36B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40B1301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E9ED5B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E744C0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张家界</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946B5A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4C3226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DB28B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F3D7B0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3A50265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3B5C55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5A9C3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韶山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7A32F8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21BDD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02D17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3D2E0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凤凰</w:t>
            </w:r>
          </w:p>
        </w:tc>
      </w:tr>
      <w:tr w14:paraId="15D050C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3012A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25D37D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湘西苗寨</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天门山</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120F7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696295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2CBB9C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055E44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0815B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A06D4F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9AF278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森林公园（袁家界、天子山、金鞭溪）</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BD9C20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B4934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8634F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C60C44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6895BA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C92004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95F889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土特产超市</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土司城</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张家界</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BA3DA3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D20C38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2B887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953BEF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张家界</w:t>
            </w:r>
          </w:p>
        </w:tc>
      </w:tr>
      <w:tr w14:paraId="79B8B1B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7488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52AD45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张家界</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C6353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C79FC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A508CE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AE57F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bookmarkStart w:id="2" w:name="_GoBack"/>
            <w:bookmarkEnd w:id="2"/>
          </w:p>
        </w:tc>
      </w:tr>
      <w:tr w14:paraId="27719ED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3F262406">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76CACF1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6CEFC0CE">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  出发地→</w:t>
            </w:r>
            <w:r>
              <w:rPr>
                <w:rFonts w:hint="eastAsia" w:ascii="微软雅黑" w:hAnsi="微软雅黑" w:eastAsia="微软雅黑" w:cs="微软雅黑"/>
                <w:b/>
                <w:bCs/>
                <w:color w:val="FFFFFF"/>
                <w:sz w:val="28"/>
                <w:szCs w:val="28"/>
                <w:lang w:eastAsia="zh-CN"/>
              </w:rPr>
              <w:t>张家界</w:t>
            </w:r>
            <w:r>
              <w:rPr>
                <w:rFonts w:hint="eastAsia" w:ascii="微软雅黑" w:hAnsi="微软雅黑" w:eastAsia="微软雅黑" w:cs="微软雅黑"/>
                <w:b/>
                <w:bCs/>
                <w:color w:val="FFFFFF"/>
                <w:sz w:val="28"/>
                <w:szCs w:val="28"/>
              </w:rPr>
              <w:t>→长沙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305F3E2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6C9213A">
            <w:pPr>
              <w:spacing w:line="360" w:lineRule="exact"/>
              <w:ind w:right="-21" w:rightChars="-10" w:firstLine="420" w:firstLineChars="200"/>
              <w:rPr>
                <w:rFonts w:hint="eastAsia" w:ascii="微软雅黑" w:hAnsi="微软雅黑" w:eastAsia="微软雅黑" w:cs="微软雅黑"/>
                <w:lang w:eastAsia="zh-CN"/>
              </w:rPr>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前往张家界</w:t>
            </w:r>
            <w:r>
              <w:rPr>
                <w:rFonts w:hint="eastAsia" w:ascii="微软雅黑" w:hAnsi="微软雅黑" w:eastAsia="微软雅黑" w:cs="微软雅黑"/>
              </w:rPr>
              <w:t>，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后乘坐动车</w:t>
            </w:r>
            <w:r>
              <w:rPr>
                <w:rFonts w:hint="eastAsia" w:ascii="微软雅黑" w:hAnsi="微软雅黑" w:eastAsia="微软雅黑" w:cs="微软雅黑"/>
                <w:b/>
                <w:bCs/>
                <w:color w:val="FF0000"/>
                <w:lang w:val="en-US" w:eastAsia="zh-CN"/>
              </w:rPr>
              <w:t>【车次待定】</w:t>
            </w:r>
            <w:r>
              <w:rPr>
                <w:rFonts w:hint="eastAsia" w:ascii="微软雅黑" w:hAnsi="微软雅黑" w:eastAsia="微软雅黑" w:cs="微软雅黑"/>
                <w:spacing w:val="2"/>
                <w:kern w:val="10"/>
                <w:position w:val="2"/>
                <w:szCs w:val="21"/>
                <w:lang w:val="en-US" w:eastAsia="zh-CN"/>
              </w:rPr>
              <w:t>前往长沙</w:t>
            </w:r>
            <w:r>
              <w:rPr>
                <w:rFonts w:hint="eastAsia" w:ascii="微软雅黑" w:hAnsi="微软雅黑" w:eastAsia="微软雅黑" w:cs="微软雅黑"/>
                <w:lang w:eastAsia="zh-CN"/>
              </w:rPr>
              <w:t>，</w:t>
            </w:r>
            <w:r>
              <w:rPr>
                <w:rFonts w:hint="eastAsia" w:ascii="微软雅黑" w:hAnsi="微软雅黑" w:eastAsia="微软雅黑" w:cs="微软雅黑"/>
                <w:szCs w:val="21"/>
              </w:rPr>
              <w:t>导游人员接站后</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2528E20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7E8C1B7">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3AF89DF">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4531DB49">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3F67D13E">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left="18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1E94041C">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7BA533B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F6272C5">
            <w:pPr>
              <w:spacing w:line="240" w:lineRule="auto"/>
              <w:rPr>
                <w:rStyle w:val="18"/>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 xml:space="preserve">第二天 </w:t>
            </w:r>
            <w:r>
              <w:rPr>
                <w:rFonts w:hint="eastAsia" w:ascii="微软雅黑" w:hAnsi="微软雅黑" w:eastAsia="微软雅黑" w:cs="微软雅黑"/>
                <w:b/>
                <w:bCs/>
                <w:color w:val="FFFFFF"/>
                <w:kern w:val="2"/>
                <w:sz w:val="28"/>
                <w:szCs w:val="28"/>
                <w:lang w:val="en-US" w:eastAsia="zh-CN" w:bidi="ar-SA"/>
              </w:rPr>
              <w:t xml:space="preserve">长沙→韶山→凤凰古城                           </w:t>
            </w:r>
            <w:r>
              <w:rPr>
                <w:rFonts w:hint="eastAsia" w:ascii="微软雅黑" w:hAnsi="微软雅黑" w:eastAsia="微软雅黑" w:cs="微软雅黑"/>
                <w:b/>
                <w:bCs/>
                <w:color w:val="FFFFFF"/>
                <w:sz w:val="24"/>
                <w:lang w:val="en-US" w:eastAsia="zh-CN"/>
              </w:rPr>
              <w:t>用餐/早/中/晚     住宿/凤凰古城</w:t>
            </w:r>
          </w:p>
        </w:tc>
      </w:tr>
      <w:tr w14:paraId="6FAE16B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29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4656409B">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早餐后统一出发前往赴红色革命胜地—</w:t>
            </w:r>
            <w:r>
              <w:rPr>
                <w:rFonts w:hint="eastAsia" w:ascii="微软雅黑" w:hAnsi="微软雅黑" w:eastAsia="微软雅黑" w:cs="微软雅黑"/>
                <w:b/>
                <w:bCs/>
                <w:color w:val="FF0000"/>
                <w:lang w:val="en-US" w:eastAsia="zh-CN"/>
              </w:rPr>
              <w:t>【韶山】</w:t>
            </w:r>
            <w:r>
              <w:rPr>
                <w:rFonts w:hint="eastAsia" w:ascii="微软雅黑" w:hAnsi="微软雅黑" w:eastAsia="微软雅黑" w:cs="微软雅黑"/>
                <w:color w:val="FF0000"/>
                <w:lang w:val="en-US" w:eastAsia="zh-CN"/>
              </w:rPr>
              <w:t>（已含韶山景区换乘环保车 20 元/人）</w:t>
            </w:r>
            <w:r>
              <w:rPr>
                <w:rFonts w:hint="eastAsia" w:ascii="微软雅黑" w:hAnsi="微软雅黑" w:eastAsia="微软雅黑" w:cs="微软雅黑"/>
                <w:lang w:val="en-US" w:eastAsia="zh-CN"/>
              </w:rPr>
              <w:t>，在铜像广场瞻仰一代伟人</w:t>
            </w:r>
            <w:r>
              <w:rPr>
                <w:rFonts w:hint="eastAsia" w:ascii="微软雅黑" w:hAnsi="微软雅黑" w:eastAsia="微软雅黑" w:cs="微软雅黑"/>
                <w:color w:val="FF0000"/>
                <w:lang w:val="en-US" w:eastAsia="zh-CN"/>
              </w:rPr>
              <w:t>【毛主席铜像】</w:t>
            </w:r>
            <w:r>
              <w:rPr>
                <w:rFonts w:hint="eastAsia" w:ascii="微软雅黑" w:hAnsi="微软雅黑" w:eastAsia="微软雅黑" w:cs="微软雅黑"/>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lang w:val="en-US" w:eastAsia="zh-CN"/>
              </w:rPr>
              <w:t>【毛泽东同志故居】</w:t>
            </w:r>
            <w:r>
              <w:rPr>
                <w:rFonts w:hint="eastAsia" w:ascii="微软雅黑" w:hAnsi="微软雅黑" w:eastAsia="微软雅黑" w:cs="微软雅黑"/>
                <w:color w:val="FF0000"/>
                <w:lang w:val="en-US" w:eastAsia="zh-CN"/>
              </w:rPr>
              <w:t>【参观故居须知：每日限流参观，实行预约，先到先约，能约尽约，约不到票，参观故居外围，不接受此方面投诉！】</w:t>
            </w:r>
            <w:r>
              <w:rPr>
                <w:rFonts w:hint="eastAsia" w:ascii="微软雅黑" w:hAnsi="微软雅黑" w:eastAsia="微软雅黑" w:cs="微软雅黑"/>
                <w:lang w:val="en-US" w:eastAsia="zh-CN"/>
              </w:rPr>
              <w:t>，这里孕育了一代伟人的智慧和风采；</w:t>
            </w:r>
          </w:p>
          <w:p w14:paraId="34C66BF1">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后赴</w:t>
            </w:r>
            <w:r>
              <w:rPr>
                <w:rFonts w:hint="eastAsia" w:ascii="微软雅黑" w:hAnsi="微软雅黑" w:eastAsia="微软雅黑" w:cs="微软雅黑"/>
                <w:b/>
                <w:bCs/>
                <w:color w:val="FF0000"/>
                <w:lang w:val="en-US" w:eastAsia="zh-CN"/>
              </w:rPr>
              <w:t>【凤凰古城】（不含古城内需另行付费的小景点，自由观光）</w:t>
            </w:r>
            <w:r>
              <w:rPr>
                <w:rFonts w:hint="eastAsia" w:ascii="微软雅黑" w:hAnsi="微软雅黑" w:eastAsia="微软雅黑" w:cs="微软雅黑"/>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70F11E9B">
            <w:pPr>
              <w:keepNext w:val="0"/>
              <w:keepLines w:val="0"/>
              <w:pageBreakBefore w:val="0"/>
              <w:widowControl w:val="0"/>
              <w:kinsoku/>
              <w:wordWrap/>
              <w:overflowPunct/>
              <w:topLinePunct w:val="0"/>
              <w:autoSpaceDE/>
              <w:autoSpaceDN/>
              <w:bidi w:val="0"/>
              <w:adjustRightInd/>
              <w:snapToGrid/>
              <w:spacing w:line="360" w:lineRule="exact"/>
              <w:ind w:right="0" w:rightChars="0" w:firstLine="420" w:firstLineChars="20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63360" behindDoc="0" locked="0" layoutInCell="1" allowOverlap="1">
                  <wp:simplePos x="0" y="0"/>
                  <wp:positionH relativeFrom="column">
                    <wp:posOffset>4762500</wp:posOffset>
                  </wp:positionH>
                  <wp:positionV relativeFrom="paragraph">
                    <wp:posOffset>757555</wp:posOffset>
                  </wp:positionV>
                  <wp:extent cx="2439035" cy="1621790"/>
                  <wp:effectExtent l="0" t="0" r="14605" b="8890"/>
                  <wp:wrapSquare wrapText="bothSides"/>
                  <wp:docPr id="5" name="图片 5" descr="05f32b5d58be822e63c61ca1797f3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5f32b5d58be822e63c61ca1797f31f"/>
                          <pic:cNvPicPr>
                            <a:picLocks noChangeAspect="1"/>
                          </pic:cNvPicPr>
                        </pic:nvPicPr>
                        <pic:blipFill>
                          <a:blip r:embed="rId17"/>
                          <a:stretch>
                            <a:fillRect/>
                          </a:stretch>
                        </pic:blipFill>
                        <pic:spPr>
                          <a:xfrm>
                            <a:off x="0" y="0"/>
                            <a:ext cx="2439035" cy="1621790"/>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2336" behindDoc="0" locked="0" layoutInCell="1" allowOverlap="1">
                  <wp:simplePos x="0" y="0"/>
                  <wp:positionH relativeFrom="column">
                    <wp:posOffset>2268855</wp:posOffset>
                  </wp:positionH>
                  <wp:positionV relativeFrom="page">
                    <wp:posOffset>2319655</wp:posOffset>
                  </wp:positionV>
                  <wp:extent cx="2473325" cy="1644015"/>
                  <wp:effectExtent l="0" t="0" r="10795" b="1905"/>
                  <wp:wrapSquare wrapText="bothSides"/>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18"/>
                          <a:stretch>
                            <a:fillRect/>
                          </a:stretch>
                        </pic:blipFill>
                        <pic:spPr>
                          <a:xfrm>
                            <a:off x="0" y="0"/>
                            <a:ext cx="2473325" cy="1644015"/>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1312" behindDoc="0" locked="0" layoutInCell="1" allowOverlap="1">
                  <wp:simplePos x="0" y="0"/>
                  <wp:positionH relativeFrom="column">
                    <wp:posOffset>-36830</wp:posOffset>
                  </wp:positionH>
                  <wp:positionV relativeFrom="page">
                    <wp:posOffset>2336800</wp:posOffset>
                  </wp:positionV>
                  <wp:extent cx="2311400" cy="1642110"/>
                  <wp:effectExtent l="0" t="0" r="5080" b="3810"/>
                  <wp:wrapSquare wrapText="bothSides"/>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19"/>
                          <a:stretch>
                            <a:fillRect/>
                          </a:stretch>
                        </pic:blipFill>
                        <pic:spPr>
                          <a:xfrm>
                            <a:off x="0" y="0"/>
                            <a:ext cx="2311400" cy="1642110"/>
                          </a:xfrm>
                          <a:prstGeom prst="rect">
                            <a:avLst/>
                          </a:prstGeom>
                        </pic:spPr>
                      </pic:pic>
                    </a:graphicData>
                  </a:graphic>
                </wp:anchor>
              </w:drawing>
            </w: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w:t>
            </w:r>
            <w:r>
              <w:rPr>
                <w:rFonts w:hint="eastAsia" w:ascii="微软雅黑" w:hAnsi="微软雅黑" w:eastAsia="微软雅黑" w:cs="微软雅黑"/>
                <w:b w:val="0"/>
                <w:bCs w:val="0"/>
                <w:color w:val="FF0000"/>
                <w:sz w:val="21"/>
                <w:szCs w:val="21"/>
              </w:rPr>
              <w:t>（如遇堵车、沱江水位过高或过低，大风暴雨等恶劣天气及特殊原因会停演不能正常观看，赠送项目不看不退，也不做等价交换请谅解）</w:t>
            </w:r>
            <w:r>
              <w:rPr>
                <w:rFonts w:hint="eastAsia" w:ascii="微软雅黑" w:hAnsi="微软雅黑" w:eastAsia="微软雅黑" w:cs="微软雅黑"/>
                <w:b w:val="0"/>
                <w:bCs w:val="0"/>
                <w:color w:val="000000" w:themeColor="text1"/>
                <w:sz w:val="21"/>
                <w:szCs w:val="21"/>
                <w14:textFill>
                  <w14:solidFill>
                    <w14:schemeClr w14:val="tx1"/>
                  </w14:solidFill>
                </w14:textFill>
              </w:rPr>
              <w:t>。</w:t>
            </w:r>
          </w:p>
        </w:tc>
      </w:tr>
      <w:tr w14:paraId="15B8790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8" w:hRule="atLeast"/>
        </w:trPr>
        <w:tc>
          <w:tcPr>
            <w:tcW w:w="11628" w:type="dxa"/>
            <w:gridSpan w:val="6"/>
            <w:tcBorders>
              <w:top w:val="single" w:color="auto" w:sz="4" w:space="0"/>
              <w:left w:val="single" w:color="auto" w:sz="4" w:space="0"/>
              <w:bottom w:val="single" w:color="auto" w:sz="4" w:space="0"/>
              <w:right w:val="single" w:color="auto" w:sz="4" w:space="0"/>
            </w:tcBorders>
          </w:tcPr>
          <w:p w14:paraId="3E4DA84D">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6A559852">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1、2016年4月10日开始，凤凰古城取消围城强制购票，客人可在古城自由参观</w:t>
            </w:r>
          </w:p>
          <w:p w14:paraId="1678250A">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left="180" w:right="0" w:hanging="180" w:hangingChars="100"/>
              <w:jc w:val="left"/>
              <w:textAlignment w:val="auto"/>
              <w:rPr>
                <w:rFonts w:ascii="微软雅黑" w:hAnsi="微软雅黑" w:eastAsia="微软雅黑" w:cs="微软雅黑"/>
                <w:szCs w:val="21"/>
              </w:rPr>
            </w:pPr>
            <w:r>
              <w:rPr>
                <w:rFonts w:hint="eastAsia" w:ascii="微软雅黑" w:hAnsi="微软雅黑" w:eastAsia="微软雅黑" w:cs="微软雅黑"/>
                <w:b/>
                <w:color w:val="00B0F0"/>
                <w:sz w:val="18"/>
                <w:lang w:val="en-US" w:eastAsia="zh-CN"/>
              </w:rPr>
              <w:t>2、凤凰古城为敞开式民用商业区，银饰、牛角梳、蜡染、当地小吃等特色商品导游义务介绍，旅游者购物行为为自主选择，旅行社不接受凤凰区域旅游者购物方面的投诉。</w:t>
            </w:r>
          </w:p>
        </w:tc>
      </w:tr>
      <w:tr w14:paraId="4BC44ED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CB9DCB6">
            <w:p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rPr>
              <w:t xml:space="preserve">第三天 </w:t>
            </w:r>
            <w:r>
              <w:rPr>
                <w:rFonts w:hint="eastAsia" w:ascii="微软雅黑" w:hAnsi="微软雅黑" w:eastAsia="微软雅黑" w:cs="微软雅黑"/>
                <w:b/>
                <w:bCs/>
                <w:color w:val="FFFFFF"/>
                <w:kern w:val="2"/>
                <w:sz w:val="28"/>
                <w:szCs w:val="28"/>
                <w:lang w:val="en-US" w:eastAsia="zh-CN" w:bidi="ar-SA"/>
              </w:rPr>
              <w:t xml:space="preserve">苗寨→天门山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/中 </w:t>
            </w:r>
            <w:r>
              <w:rPr>
                <w:rFonts w:hint="eastAsia" w:ascii="微软雅黑" w:hAnsi="微软雅黑" w:eastAsia="微软雅黑" w:cs="微软雅黑"/>
                <w:b/>
                <w:bCs/>
                <w:color w:val="FFFFFF"/>
                <w:sz w:val="24"/>
              </w:rPr>
              <w:t xml:space="preserve">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626B710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56B13A26">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早餐后前往参观</w:t>
            </w:r>
            <w:r>
              <w:rPr>
                <w:rFonts w:hint="eastAsia" w:ascii="微软雅黑" w:hAnsi="微软雅黑" w:eastAsia="微软雅黑" w:cs="微软雅黑"/>
                <w:b/>
                <w:bCs/>
                <w:color w:val="FF0000"/>
                <w:sz w:val="21"/>
                <w:szCs w:val="22"/>
                <w:lang w:val="en-US" w:eastAsia="zh-CN" w:bidi="zh-CN"/>
              </w:rPr>
              <w:t>【湘西苗寨】</w:t>
            </w:r>
            <w:r>
              <w:rPr>
                <w:rFonts w:hint="eastAsia" w:ascii="微软雅黑" w:hAnsi="微软雅黑" w:eastAsia="微软雅黑" w:cs="微软雅黑"/>
                <w:b w:val="0"/>
                <w:bCs w:val="0"/>
                <w:color w:val="FF0000"/>
                <w:sz w:val="21"/>
                <w:szCs w:val="22"/>
                <w:lang w:val="en-US" w:eastAsia="zh-CN" w:bidi="zh-CN"/>
              </w:rPr>
              <w:t>（赠送景点，</w:t>
            </w:r>
            <w:r>
              <w:rPr>
                <w:rFonts w:hint="eastAsia" w:ascii="微软雅黑" w:hAnsi="微软雅黑" w:eastAsia="微软雅黑" w:cs="微软雅黑"/>
                <w:b w:val="0"/>
                <w:bCs w:val="0"/>
                <w:color w:val="FF0000"/>
                <w:lang w:val="en-US" w:eastAsia="zh-CN"/>
              </w:rPr>
              <w:t>不去不退亦不做等价交换）</w:t>
            </w:r>
            <w:r>
              <w:rPr>
                <w:rFonts w:hint="eastAsia" w:ascii="微软雅黑" w:hAnsi="微软雅黑" w:eastAsia="微软雅黑" w:cs="微软雅黑"/>
                <w:sz w:val="21"/>
                <w:szCs w:val="22"/>
                <w:lang w:val="en-US" w:eastAsia="zh-CN" w:bidi="zh-CN"/>
              </w:rPr>
              <w:t>苗寨是美丽峡谷中古老而神奇的苗寨，是镶嵌在神密湘西的一朵奇葩。苗寨居住着百余户苗民，至今留存着千年古俗。是天下闻名的苗鼓之乡，男女老少皆爱“跳鼓”，曾出过五代苗鼓王。繁衍于斯的苗族同胞，千百年来安居乐业,他们讲苗语，穿无领绣花衣，以歌为媒，自由恋爱；晨昏作息，等闲生死；歌舞沉酣。姑娘喜欢用银饰打扮自己，男人爱结绑腿，吹木叶，喜武术。他们自己种棉，养蚕纺纱织布，用古老的方法榨油，造纸，碾米，织布，用筒车提水灌田。</w:t>
            </w:r>
          </w:p>
          <w:p w14:paraId="4F12A8B9">
            <w:pPr>
              <w:pStyle w:val="3"/>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2"/>
                <w:lang w:val="en-US" w:eastAsia="zh-CN" w:bidi="zh-CN"/>
              </w:rPr>
            </w:pPr>
            <w:bookmarkStart w:id="0" w:name="OLE_LINK2"/>
            <w:r>
              <w:rPr>
                <w:rFonts w:hint="eastAsia" w:ascii="微软雅黑" w:hAnsi="微软雅黑" w:eastAsia="微软雅黑" w:cs="微软雅黑"/>
                <w:sz w:val="21"/>
                <w:szCs w:val="22"/>
                <w:lang w:val="en-US" w:eastAsia="zh-CN" w:bidi="zh-CN"/>
              </w:rPr>
              <w:t>后游览新传奇</w:t>
            </w:r>
            <w:r>
              <w:rPr>
                <w:rFonts w:hint="eastAsia" w:ascii="微软雅黑" w:hAnsi="微软雅黑" w:eastAsia="微软雅黑" w:cs="微软雅黑"/>
                <w:b/>
                <w:bCs/>
                <w:color w:val="FF0000"/>
                <w:sz w:val="21"/>
                <w:szCs w:val="22"/>
                <w:lang w:val="en-US" w:eastAsia="zh-CN" w:bidi="zh-CN"/>
              </w:rPr>
              <w:t>【天门山国家森林公园】（含天门山景区首道大门票、索道+鞋套+单程扶梯已含）</w:t>
            </w:r>
            <w:r>
              <w:rPr>
                <w:rFonts w:hint="eastAsia" w:ascii="微软雅黑" w:hAnsi="微软雅黑" w:eastAsia="微软雅黑" w:cs="微软雅黑"/>
                <w:sz w:val="21"/>
                <w:szCs w:val="22"/>
                <w:lang w:val="en-US" w:eastAsia="zh-CN" w:bidi="zh-CN"/>
              </w:rPr>
              <w:t>“网易、环球游报等三十多家媒体联合推选“中国最值得外国人去的 50 个地方”，天门山与长城、兵马俑、黄山、泰山、敦煌等中国顶级旅游品牌并肩获评金奖。文学大师金庸欣然挥毫“天门仙山”四个大字；艺术大师黄永玉更两度洒墨，绘出天门山的神韵和巍峨。俯瞰张家界全景，观赏奇妙美丽的盆景花园，还有勇气之路悬空玻璃栈道，挑战你的高空极限！</w:t>
            </w:r>
            <w:r>
              <w:rPr>
                <w:rFonts w:hint="eastAsia" w:ascii="微软雅黑" w:hAnsi="微软雅黑" w:eastAsia="微软雅黑" w:cs="微软雅黑"/>
                <w:b/>
                <w:bCs/>
                <w:color w:val="FF0000"/>
                <w:sz w:val="21"/>
                <w:szCs w:val="22"/>
                <w:lang w:val="en-US" w:eastAsia="zh-CN" w:bidi="zh-CN"/>
              </w:rPr>
              <w:t>【天门山玻璃栈道】</w:t>
            </w:r>
            <w:r>
              <w:rPr>
                <w:rFonts w:hint="eastAsia" w:ascii="微软雅黑" w:hAnsi="微软雅黑" w:eastAsia="微软雅黑" w:cs="微软雅黑"/>
                <w:sz w:val="21"/>
                <w:szCs w:val="22"/>
                <w:lang w:val="en-US" w:eastAsia="zh-CN" w:bidi="zh-CN"/>
              </w:rPr>
              <w:t>玻璃栈道是张家界天门山景区继悬于峭壁之上的鬼谷栈道、凭空伸出的玻璃眺望台、横跨峡谷的木质吊桥后打造的又一试胆力作。可与举世闻名的美国大峡谷玻璃走廊“天空之路”媲美，因而有了东方“天空之路”的美誉。</w:t>
            </w:r>
            <w:r>
              <w:rPr>
                <w:rFonts w:hint="eastAsia" w:ascii="微软雅黑" w:hAnsi="微软雅黑" w:eastAsia="微软雅黑" w:cs="微软雅黑"/>
                <w:b/>
                <w:bCs/>
                <w:color w:val="FF0000"/>
                <w:sz w:val="21"/>
                <w:szCs w:val="22"/>
                <w:lang w:val="en-US" w:eastAsia="zh-CN" w:bidi="zh-CN"/>
              </w:rPr>
              <w:t>【天门洞】</w:t>
            </w:r>
            <w:r>
              <w:rPr>
                <w:rFonts w:hint="eastAsia" w:ascii="微软雅黑" w:hAnsi="微软雅黑" w:eastAsia="微软雅黑" w:cs="微软雅黑"/>
                <w:sz w:val="21"/>
                <w:szCs w:val="22"/>
                <w:lang w:val="en-US" w:eastAsia="zh-CN" w:bidi="zh-CN"/>
              </w:rPr>
              <w:t>天门洞是巨大的穿山溶洞，经常雾气弥漫，走上到达天门洞的台阶有种登上天庭的感觉。除此之外，还可以在缆车中俯瞰脚下的盘山公路和山中美景。胆大的还可以走一走贴壁悬空的玻璃栈道，体验凌空行走的刺激。</w:t>
            </w:r>
          </w:p>
          <w:bookmarkEnd w:id="0"/>
          <w:p w14:paraId="562C44C8">
            <w:pPr>
              <w:pStyle w:val="10"/>
              <w:keepNext w:val="0"/>
              <w:keepLines w:val="0"/>
              <w:pageBreakBefore w:val="0"/>
              <w:widowControl w:val="0"/>
              <w:kinsoku/>
              <w:wordWrap/>
              <w:overflowPunct/>
              <w:topLinePunct w:val="0"/>
              <w:autoSpaceDE/>
              <w:autoSpaceDN/>
              <w:bidi w:val="0"/>
              <w:adjustRightInd/>
              <w:snapToGrid/>
              <w:spacing w:after="0" w:line="360" w:lineRule="exact"/>
              <w:ind w:left="180" w:leftChars="0" w:hanging="180" w:hangingChars="100"/>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【温馨提示】：</w:t>
            </w:r>
          </w:p>
          <w:p w14:paraId="4EFA9D63">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0" w:right="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1、因天门山景区门票是一证一票制，必须提供正确的身份证号码及姓名，参团前请携带好身份证原件</w:t>
            </w:r>
            <w:r>
              <w:rPr>
                <w:rFonts w:hint="eastAsia" w:ascii="微软雅黑" w:hAnsi="微软雅黑" w:eastAsia="微软雅黑" w:cs="微软雅黑"/>
                <w:b/>
                <w:color w:val="00B0F0"/>
                <w:sz w:val="18"/>
                <w:lang w:eastAsia="zh-CN"/>
              </w:rPr>
              <w:t>及相关优惠证件原件</w:t>
            </w:r>
            <w:r>
              <w:rPr>
                <w:rFonts w:hint="eastAsia" w:ascii="微软雅黑" w:hAnsi="微软雅黑" w:eastAsia="微软雅黑" w:cs="微软雅黑"/>
                <w:b/>
                <w:color w:val="00B0F0"/>
                <w:sz w:val="18"/>
              </w:rPr>
              <w:t>；</w:t>
            </w:r>
          </w:p>
          <w:p w14:paraId="3B02D67B">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0" w:right="0" w:hanging="180" w:hangingChars="10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2EA3CC21">
            <w:pPr>
              <w:rPr>
                <w:rFonts w:hint="default"/>
                <w:lang w:val="en-US" w:eastAsia="zh-CN"/>
              </w:rPr>
            </w:pPr>
            <w:r>
              <w:rPr>
                <w:rFonts w:hint="eastAsia" w:ascii="微软雅黑" w:hAnsi="微软雅黑" w:eastAsia="微软雅黑" w:cs="微软雅黑"/>
                <w:b/>
                <w:color w:val="00B0F0"/>
                <w:sz w:val="18"/>
              </w:rPr>
              <w:t>3、如遇大雪或结冰等不可抗力因素，景区天门洞、玻璃栈道封路、环保车关闭，无法正常游览旅行社不予承担责任；（每</w:t>
            </w:r>
            <w:r>
              <w:rPr>
                <w:rFonts w:hint="eastAsia" w:ascii="微软雅黑" w:hAnsi="微软雅黑" w:eastAsia="微软雅黑" w:cs="微软雅黑"/>
                <w:b/>
                <w:color w:val="00B0F0"/>
                <w:sz w:val="18"/>
                <w:lang w:eastAsia="zh-CN"/>
              </w:rPr>
              <w:t>年</w:t>
            </w:r>
            <w:r>
              <w:rPr>
                <w:rFonts w:hint="eastAsia" w:ascii="微软雅黑" w:hAnsi="微软雅黑" w:eastAsia="微软雅黑" w:cs="微软雅黑"/>
                <w:b/>
                <w:color w:val="00B0F0"/>
                <w:sz w:val="18"/>
              </w:rPr>
              <w:t>12月到次年 2月因天气原因会关闭天门洞、玻璃栈道、环保车，如环保车关闭景区会执行索道上下）</w:t>
            </w:r>
            <w:r>
              <w:rPr>
                <w:rFonts w:hint="eastAsia" w:ascii="微软雅黑" w:hAnsi="微软雅黑" w:eastAsia="微软雅黑" w:cs="微软雅黑"/>
                <w:b/>
                <w:color w:val="00B0F0"/>
                <w:sz w:val="18"/>
                <w:lang w:eastAsia="zh-CN"/>
              </w:rPr>
              <w:t>。</w:t>
            </w:r>
          </w:p>
        </w:tc>
      </w:tr>
      <w:tr w14:paraId="1EC27E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24" w:hRule="atLeast"/>
        </w:trPr>
        <w:tc>
          <w:tcPr>
            <w:tcW w:w="11628" w:type="dxa"/>
            <w:gridSpan w:val="6"/>
            <w:tcBorders>
              <w:top w:val="single" w:color="auto" w:sz="4" w:space="0"/>
              <w:left w:val="single" w:color="auto" w:sz="4" w:space="0"/>
              <w:bottom w:val="single" w:color="auto" w:sz="4" w:space="0"/>
              <w:right w:val="single" w:color="auto" w:sz="4" w:space="0"/>
            </w:tcBorders>
          </w:tcPr>
          <w:p w14:paraId="72EE76BF">
            <w:pPr>
              <w:pStyle w:val="3"/>
              <w:ind w:left="0" w:leftChars="0" w:firstLine="0" w:firstLineChars="0"/>
              <w:rPr>
                <w:rFonts w:hint="eastAsia" w:eastAsia="宋体"/>
                <w:lang w:eastAsia="zh-CN"/>
              </w:rPr>
            </w:pPr>
            <w:r>
              <w:rPr>
                <w:rFonts w:hint="eastAsia" w:ascii="微软雅黑" w:hAnsi="微软雅黑" w:eastAsia="宋体" w:cs="微软雅黑"/>
                <w:sz w:val="21"/>
                <w:szCs w:val="22"/>
                <w:lang w:val="en-US" w:eastAsia="zh-CN" w:bidi="zh-CN"/>
              </w:rPr>
              <w:drawing>
                <wp:inline distT="0" distB="0" distL="114300" distR="114300">
                  <wp:extent cx="2321560" cy="1704340"/>
                  <wp:effectExtent l="0" t="0" r="10160" b="2540"/>
                  <wp:docPr id="2" name="图片 2"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612e5502ffc89dbdc8a6ef9cce82f19"/>
                          <pic:cNvPicPr>
                            <a:picLocks noChangeAspect="1"/>
                          </pic:cNvPicPr>
                        </pic:nvPicPr>
                        <pic:blipFill>
                          <a:blip r:embed="rId20"/>
                          <a:stretch>
                            <a:fillRect/>
                          </a:stretch>
                        </pic:blipFill>
                        <pic:spPr>
                          <a:xfrm>
                            <a:off x="0" y="0"/>
                            <a:ext cx="2321560" cy="1704340"/>
                          </a:xfrm>
                          <a:prstGeom prst="rect">
                            <a:avLst/>
                          </a:prstGeom>
                        </pic:spPr>
                      </pic:pic>
                    </a:graphicData>
                  </a:graphic>
                </wp:inline>
              </w:drawing>
            </w:r>
            <w:r>
              <w:drawing>
                <wp:inline distT="0" distB="0" distL="114300" distR="114300">
                  <wp:extent cx="2583180" cy="1720850"/>
                  <wp:effectExtent l="0" t="0" r="7620" b="1270"/>
                  <wp:docPr id="11" name="图片 11" descr="tim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timg (3)"/>
                          <pic:cNvPicPr>
                            <a:picLocks noChangeAspect="1"/>
                          </pic:cNvPicPr>
                        </pic:nvPicPr>
                        <pic:blipFill>
                          <a:blip r:embed="rId21"/>
                          <a:stretch>
                            <a:fillRect/>
                          </a:stretch>
                        </pic:blipFill>
                        <pic:spPr>
                          <a:xfrm>
                            <a:off x="0" y="0"/>
                            <a:ext cx="2583180" cy="1720850"/>
                          </a:xfrm>
                          <a:prstGeom prst="rect">
                            <a:avLst/>
                          </a:prstGeom>
                        </pic:spPr>
                      </pic:pic>
                    </a:graphicData>
                  </a:graphic>
                </wp:inline>
              </w:drawing>
            </w:r>
            <w:r>
              <w:rPr>
                <w:rFonts w:hint="eastAsia" w:eastAsia="宋体"/>
                <w:lang w:eastAsia="zh-CN"/>
              </w:rPr>
              <w:drawing>
                <wp:inline distT="0" distB="0" distL="114300" distR="114300">
                  <wp:extent cx="2294255" cy="1721485"/>
                  <wp:effectExtent l="0" t="0" r="6985" b="635"/>
                  <wp:docPr id="15" name="图片 15" descr="天门山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天门山2.webp"/>
                          <pic:cNvPicPr>
                            <a:picLocks noChangeAspect="1"/>
                          </pic:cNvPicPr>
                        </pic:nvPicPr>
                        <pic:blipFill>
                          <a:blip r:embed="rId22"/>
                          <a:stretch>
                            <a:fillRect/>
                          </a:stretch>
                        </pic:blipFill>
                        <pic:spPr>
                          <a:xfrm>
                            <a:off x="0" y="0"/>
                            <a:ext cx="2294255" cy="1721485"/>
                          </a:xfrm>
                          <a:prstGeom prst="rect">
                            <a:avLst/>
                          </a:prstGeom>
                        </pic:spPr>
                      </pic:pic>
                    </a:graphicData>
                  </a:graphic>
                </wp:inline>
              </w:drawing>
            </w:r>
          </w:p>
        </w:tc>
      </w:tr>
      <w:tr w14:paraId="0664F03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8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7C4A3313">
            <w:pPr>
              <w:numPr>
                <w:ilvl w:val="0"/>
                <w:numId w:val="0"/>
              </w:numPr>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kern w:val="2"/>
                <w:sz w:val="28"/>
                <w:szCs w:val="28"/>
                <w:lang w:val="en-US" w:eastAsia="zh-CN" w:bidi="ar-SA"/>
              </w:rPr>
              <w:t xml:space="preserve">森林公园（天子山、袁家界、金鞭溪）→民族晚会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/晚</w:t>
            </w:r>
            <w:r>
              <w:rPr>
                <w:rFonts w:hint="eastAsia" w:ascii="微软雅黑" w:hAnsi="微软雅黑" w:eastAsia="微软雅黑" w:cs="微软雅黑"/>
                <w:b/>
                <w:bCs/>
                <w:color w:val="FFFFFF"/>
                <w:sz w:val="24"/>
              </w:rPr>
              <w:t xml:space="preserve">  住宿/</w:t>
            </w:r>
            <w:r>
              <w:rPr>
                <w:rFonts w:hint="eastAsia" w:ascii="微软雅黑" w:hAnsi="微软雅黑" w:eastAsia="微软雅黑" w:cs="微软雅黑"/>
                <w:b/>
                <w:bCs/>
                <w:color w:val="FFFFFF"/>
                <w:sz w:val="24"/>
                <w:lang w:eastAsia="zh-CN"/>
              </w:rPr>
              <w:t>张家界</w:t>
            </w:r>
          </w:p>
        </w:tc>
      </w:tr>
      <w:tr w14:paraId="350BFB2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6A52F5BD">
            <w:pPr>
              <w:spacing w:line="360" w:lineRule="exact"/>
              <w:ind w:left="-19" w:leftChars="-9" w:right="71" w:rightChars="34" w:firstLine="657" w:firstLineChars="313"/>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b w:val="0"/>
                <w:bCs w:val="0"/>
                <w:color w:val="auto"/>
                <w:kern w:val="2"/>
                <w:sz w:val="21"/>
                <w:szCs w:val="21"/>
                <w:lang w:val="en-US" w:eastAsia="zh-CN" w:bidi="ar-SA"/>
              </w:rPr>
              <w:t xml:space="preserve"> </w:t>
            </w:r>
            <w:r>
              <w:rPr>
                <w:rFonts w:hint="eastAsia" w:ascii="微软雅黑" w:hAnsi="微软雅黑" w:eastAsia="微软雅黑" w:cs="微软雅黑"/>
                <w:kern w:val="2"/>
                <w:sz w:val="21"/>
                <w:szCs w:val="22"/>
                <w:lang w:val="en-US" w:eastAsia="zh-CN" w:bidi="zh-CN"/>
              </w:rPr>
              <w:t xml:space="preserve"> </w:t>
            </w: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w:t>
            </w:r>
            <w:r>
              <w:rPr>
                <w:rFonts w:hint="eastAsia" w:ascii="微软雅黑" w:hAnsi="微软雅黑" w:eastAsia="微软雅黑" w:cs="微软雅黑"/>
                <w:kern w:val="2"/>
                <w:sz w:val="21"/>
                <w:szCs w:val="21"/>
                <w:highlight w:val="none"/>
                <w:lang w:val="en-US" w:eastAsia="zh-CN" w:bidi="ar-SA"/>
              </w:rPr>
              <w:t>【</w:t>
            </w:r>
            <w:r>
              <w:rPr>
                <w:rFonts w:hint="eastAsia" w:ascii="微软雅黑" w:hAnsi="微软雅黑" w:eastAsia="微软雅黑" w:cs="微软雅黑"/>
                <w:b/>
                <w:bCs/>
                <w:color w:val="FF0000"/>
                <w:kern w:val="2"/>
                <w:sz w:val="21"/>
                <w:szCs w:val="21"/>
                <w:highlight w:val="none"/>
                <w:lang w:val="en-US" w:eastAsia="zh-CN" w:bidi="ar-SA"/>
              </w:rPr>
              <w:t>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】(游览时间不少于2小时)，探寻影视阿凡达中的群山漂浮、星罗棋布的玄幻莫测世界;后乘坐</w:t>
            </w:r>
            <w:r>
              <w:rPr>
                <w:rFonts w:hint="eastAsia" w:ascii="微软雅黑" w:hAnsi="微软雅黑" w:eastAsia="微软雅黑" w:cs="微软雅黑"/>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726D7222">
            <w:pPr>
              <w:pStyle w:val="3"/>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eastAsia" w:ascii="微软雅黑" w:hAnsi="微软雅黑" w:eastAsia="微软雅黑" w:cs="微软雅黑"/>
                <w:sz w:val="21"/>
                <w:szCs w:val="22"/>
                <w:lang w:val="en-US" w:eastAsia="zh-CN" w:bidi="zh-CN"/>
              </w:rPr>
              <w:t>后赴张家界，晚上前往观赏大型民俗表演：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p w14:paraId="1BDB14B5">
            <w:pPr>
              <w:pStyle w:val="10"/>
              <w:ind w:left="0" w:leftChars="0" w:firstLine="210" w:firstLineChars="100"/>
              <w:rPr>
                <w:rFonts w:hint="eastAsia" w:ascii="微软雅黑" w:hAnsi="微软雅黑" w:eastAsia="宋体" w:cs="微软雅黑"/>
                <w:sz w:val="21"/>
                <w:szCs w:val="22"/>
                <w:lang w:val="en-US" w:eastAsia="zh-CN" w:bidi="zh-CN"/>
              </w:rPr>
            </w:pPr>
            <w:r>
              <w:rPr>
                <w:rFonts w:hint="eastAsia" w:ascii="微软雅黑" w:hAnsi="微软雅黑" w:eastAsia="微软雅黑" w:cs="微软雅黑"/>
                <w:sz w:val="21"/>
                <w:szCs w:val="22"/>
                <w:lang w:val="en-US" w:eastAsia="zh-CN" w:bidi="zh-CN"/>
              </w:rPr>
              <w:t xml:space="preserve"> </w:t>
            </w:r>
            <w:r>
              <w:drawing>
                <wp:inline distT="0" distB="0" distL="114300" distR="114300">
                  <wp:extent cx="2248535" cy="1630680"/>
                  <wp:effectExtent l="0" t="0" r="6985" b="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23"/>
                          <a:stretch>
                            <a:fillRect/>
                          </a:stretch>
                        </pic:blipFill>
                        <pic:spPr>
                          <a:xfrm>
                            <a:off x="0" y="0"/>
                            <a:ext cx="2248535" cy="1630680"/>
                          </a:xfrm>
                          <a:prstGeom prst="rect">
                            <a:avLst/>
                          </a:prstGeom>
                          <a:noFill/>
                          <a:ln>
                            <a:noFill/>
                          </a:ln>
                        </pic:spPr>
                      </pic:pic>
                    </a:graphicData>
                  </a:graphic>
                </wp:inline>
              </w:drawing>
            </w:r>
            <w:r>
              <w:drawing>
                <wp:inline distT="0" distB="0" distL="114300" distR="114300">
                  <wp:extent cx="2239010" cy="1619250"/>
                  <wp:effectExtent l="0" t="0" r="1270" b="11430"/>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24"/>
                          <a:stretch>
                            <a:fillRect/>
                          </a:stretch>
                        </pic:blipFill>
                        <pic:spPr>
                          <a:xfrm>
                            <a:off x="0" y="0"/>
                            <a:ext cx="2239010" cy="1619250"/>
                          </a:xfrm>
                          <a:prstGeom prst="rect">
                            <a:avLst/>
                          </a:prstGeom>
                          <a:noFill/>
                          <a:ln>
                            <a:noFill/>
                          </a:ln>
                        </pic:spPr>
                      </pic:pic>
                    </a:graphicData>
                  </a:graphic>
                </wp:inline>
              </w:drawing>
            </w:r>
            <w:r>
              <w:rPr>
                <w:rFonts w:hint="eastAsia" w:ascii="微软雅黑" w:hAnsi="微软雅黑" w:eastAsia="宋体" w:cs="微软雅黑"/>
                <w:sz w:val="21"/>
                <w:szCs w:val="22"/>
                <w:lang w:val="en-US" w:eastAsia="zh-CN" w:bidi="zh-CN"/>
              </w:rPr>
              <w:drawing>
                <wp:inline distT="0" distB="0" distL="114300" distR="114300">
                  <wp:extent cx="2372995" cy="1641475"/>
                  <wp:effectExtent l="0" t="0" r="4445" b="4445"/>
                  <wp:docPr id="17" name="图片 17" descr="7beab73a80074413aa96d418abc24006_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7beab73a80074413aa96d418abc24006_th"/>
                          <pic:cNvPicPr>
                            <a:picLocks noChangeAspect="1"/>
                          </pic:cNvPicPr>
                        </pic:nvPicPr>
                        <pic:blipFill>
                          <a:blip r:embed="rId25"/>
                          <a:stretch>
                            <a:fillRect/>
                          </a:stretch>
                        </pic:blipFill>
                        <pic:spPr>
                          <a:xfrm>
                            <a:off x="0" y="0"/>
                            <a:ext cx="2372995" cy="1641475"/>
                          </a:xfrm>
                          <a:prstGeom prst="rect">
                            <a:avLst/>
                          </a:prstGeom>
                        </pic:spPr>
                      </pic:pic>
                    </a:graphicData>
                  </a:graphic>
                </wp:inline>
              </w:drawing>
            </w:r>
          </w:p>
        </w:tc>
      </w:tr>
      <w:tr w14:paraId="2B53E59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 w:hRule="atLeast"/>
        </w:trPr>
        <w:tc>
          <w:tcPr>
            <w:tcW w:w="11628" w:type="dxa"/>
            <w:gridSpan w:val="6"/>
            <w:tcBorders>
              <w:top w:val="single" w:color="auto" w:sz="4" w:space="0"/>
              <w:left w:val="single" w:color="auto" w:sz="4" w:space="0"/>
              <w:bottom w:val="single" w:color="auto" w:sz="4" w:space="0"/>
              <w:right w:val="single" w:color="auto" w:sz="4" w:space="0"/>
            </w:tcBorders>
          </w:tcPr>
          <w:p w14:paraId="5F8846CC">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B0F0"/>
                <w:sz w:val="18"/>
                <w:szCs w:val="18"/>
              </w:rPr>
            </w:pPr>
            <w:r>
              <w:rPr>
                <w:rFonts w:hint="eastAsia" w:ascii="微软雅黑" w:hAnsi="微软雅黑" w:eastAsia="微软雅黑" w:cs="微软雅黑"/>
                <w:b/>
                <w:color w:val="00B0F0"/>
                <w:kern w:val="2"/>
                <w:sz w:val="18"/>
                <w:szCs w:val="18"/>
                <w:lang w:val="en-US" w:eastAsia="zh-CN" w:bidi="ar-SA"/>
              </w:rPr>
              <w:t>【温馨提示】</w:t>
            </w:r>
            <w:r>
              <w:rPr>
                <w:rFonts w:hint="eastAsia" w:ascii="微软雅黑" w:hAnsi="微软雅黑" w:eastAsia="微软雅黑" w:cs="微软雅黑"/>
                <w:color w:val="00B0F0"/>
                <w:sz w:val="18"/>
                <w:szCs w:val="18"/>
              </w:rPr>
              <w:t>：</w:t>
            </w:r>
          </w:p>
          <w:p w14:paraId="2AE1E137">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80" w:right="0" w:hanging="180" w:hangingChars="100"/>
              <w:jc w:val="lef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r>
              <w:rPr>
                <w:rFonts w:hint="eastAsia" w:ascii="微软雅黑" w:hAnsi="微软雅黑" w:eastAsia="微软雅黑" w:cs="微软雅黑"/>
                <w:b/>
                <w:color w:val="00B0F0"/>
                <w:sz w:val="18"/>
                <w:szCs w:val="18"/>
                <w:lang w:eastAsia="zh-CN"/>
              </w:rPr>
              <w:t>。</w:t>
            </w:r>
          </w:p>
          <w:p w14:paraId="2CB814D8">
            <w:pPr>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2、张家界以山为主，为方便在山区游览“请穿平跟鞋，建议不穿裙子，自带雨具、太阳帽、胶卷”等物品。</w:t>
            </w:r>
          </w:p>
          <w:p w14:paraId="45FE1BAE">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8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3、景区内群猴众多，请不要近距离接近猴群，更不要去触摸山上的野生动物，以免发生伤害事件。早晚温差很大，请根据当天的天气预报随身携带衣服，以便随时添加。在景区内请不要随意攀爬。</w:t>
            </w:r>
          </w:p>
          <w:p w14:paraId="7C0C191F">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4、景区山上仅一家餐厅并山上条件有限，菜品很一般，建议客人自备点干粮、零食，当天中午不含餐</w:t>
            </w:r>
            <w:r>
              <w:rPr>
                <w:rFonts w:hint="eastAsia" w:ascii="微软雅黑" w:hAnsi="微软雅黑" w:eastAsia="微软雅黑" w:cs="微软雅黑"/>
                <w:b/>
                <w:color w:val="00B0F0"/>
                <w:sz w:val="18"/>
                <w:szCs w:val="18"/>
                <w:lang w:eastAsia="zh-CN"/>
              </w:rPr>
              <w:t>。</w:t>
            </w:r>
          </w:p>
          <w:p w14:paraId="5D4DDE96">
            <w:pPr>
              <w:pStyle w:val="3"/>
              <w:ind w:left="0" w:leftChars="0" w:firstLine="0" w:firstLineChars="0"/>
              <w:rPr>
                <w:rFonts w:hint="eastAsia"/>
                <w:lang w:eastAsia="zh-CN"/>
              </w:rPr>
            </w:pPr>
          </w:p>
        </w:tc>
      </w:tr>
      <w:tr w14:paraId="6947DC3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8"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595CDE6">
            <w:pPr>
              <w:pStyle w:val="6"/>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 xml:space="preserve">第五天  </w:t>
            </w:r>
            <w:r>
              <w:rPr>
                <w:rFonts w:hint="eastAsia" w:ascii="微软雅黑" w:hAnsi="微软雅黑" w:eastAsia="微软雅黑" w:cs="微软雅黑"/>
                <w:b/>
                <w:bCs/>
                <w:color w:val="FFFFFF"/>
                <w:sz w:val="28"/>
                <w:szCs w:val="28"/>
                <w:lang w:eastAsia="zh-CN"/>
              </w:rPr>
              <w:t>土特产超市</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土司府城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张家界</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张家界</w:t>
            </w:r>
          </w:p>
        </w:tc>
      </w:tr>
      <w:tr w14:paraId="61DD5D3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27157CBE">
            <w:pPr>
              <w:snapToGrid w:val="0"/>
              <w:ind w:firstLine="420" w:firstLineChars="200"/>
              <w:rPr>
                <w:rFonts w:hint="eastAsia"/>
                <w:lang w:val="en-US" w:eastAsia="zh-CN"/>
              </w:rPr>
            </w:pPr>
            <w:r>
              <w:rPr>
                <w:rFonts w:hint="eastAsia" w:ascii="微软雅黑" w:hAnsi="微软雅黑" w:eastAsia="微软雅黑" w:cs="微软雅黑"/>
                <w:sz w:val="21"/>
                <w:szCs w:val="22"/>
                <w:lang w:val="en-US" w:eastAsia="zh-CN" w:bidi="zh-CN"/>
              </w:rPr>
              <w:t>早餐后</w:t>
            </w:r>
            <w:r>
              <w:rPr>
                <w:rFonts w:hint="eastAsia" w:ascii="微软雅黑" w:hAnsi="微软雅黑" w:eastAsia="微软雅黑" w:cs="微软雅黑"/>
                <w:b w:val="0"/>
                <w:bCs w:val="0"/>
                <w:color w:val="auto"/>
                <w:kern w:val="2"/>
                <w:sz w:val="21"/>
                <w:szCs w:val="24"/>
                <w:lang w:val="en-US" w:eastAsia="zh-CN" w:bidi="ar-SA"/>
              </w:rPr>
              <w:t>参观当地大型特产超市</w:t>
            </w:r>
            <w:r>
              <w:rPr>
                <w:rFonts w:hint="eastAsia" w:ascii="微软雅黑" w:hAnsi="微软雅黑" w:eastAsia="微软雅黑" w:cs="微软雅黑"/>
                <w:b/>
                <w:bCs/>
                <w:color w:val="FF0000"/>
                <w:kern w:val="2"/>
                <w:sz w:val="21"/>
                <w:szCs w:val="24"/>
                <w:lang w:val="en-US" w:eastAsia="zh-CN" w:bidi="ar-SA"/>
              </w:rPr>
              <w:t>【湖南印象土特产】</w:t>
            </w:r>
            <w:r>
              <w:rPr>
                <w:rFonts w:hint="eastAsia" w:ascii="微软雅黑" w:hAnsi="微软雅黑" w:eastAsia="微软雅黑" w:cs="微软雅黑"/>
                <w:b w:val="0"/>
                <w:bCs w:val="0"/>
                <w:color w:val="auto"/>
                <w:kern w:val="2"/>
                <w:sz w:val="21"/>
                <w:szCs w:val="24"/>
                <w:lang w:val="en-US" w:eastAsia="zh-CN" w:bidi="ar-SA"/>
              </w:rPr>
              <w:t>（约2小时左右）土家民族精粹和传统手工艺术展览中心，可选择自己心爱的当地土特产及纪念品。</w:t>
            </w:r>
            <w:r>
              <w:rPr>
                <w:rFonts w:hint="eastAsia" w:ascii="微软雅黑" w:hAnsi="微软雅黑" w:eastAsia="微软雅黑" w:cs="微软雅黑"/>
                <w:b w:val="0"/>
                <w:bCs w:val="0"/>
                <w:color w:val="auto"/>
                <w:kern w:val="2"/>
                <w:sz w:val="21"/>
                <w:szCs w:val="24"/>
                <w:lang w:val="zh-CN" w:eastAsia="zh-CN" w:bidi="ar-SA"/>
              </w:rPr>
              <w:br w:type="textWrapping"/>
            </w:r>
            <w:r>
              <w:rPr>
                <w:rFonts w:hint="eastAsia" w:ascii="微软雅黑" w:hAnsi="微软雅黑" w:eastAsia="微软雅黑" w:cs="微软雅黑"/>
                <w:b w:val="0"/>
                <w:bCs w:val="0"/>
                <w:color w:val="auto"/>
                <w:kern w:val="2"/>
                <w:sz w:val="21"/>
                <w:szCs w:val="24"/>
                <w:lang w:val="en-US" w:eastAsia="zh-CN" w:bidi="ar-SA"/>
              </w:rPr>
              <w:t xml:space="preserve">  </w:t>
            </w:r>
            <w:bookmarkStart w:id="1" w:name="OLE_LINK1"/>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【土司府城】</w:t>
            </w:r>
            <w:r>
              <w:rPr>
                <w:rFonts w:hint="eastAsia" w:ascii="微软雅黑" w:hAnsi="微软雅黑" w:eastAsia="微软雅黑" w:cs="微软雅黑"/>
                <w:b w:val="0"/>
                <w:bCs w:val="0"/>
                <w:color w:val="FF0000"/>
                <w:kern w:val="2"/>
                <w:sz w:val="21"/>
                <w:szCs w:val="24"/>
                <w:lang w:val="zh-CN" w:eastAsia="zh-CN" w:bidi="ar-SA"/>
              </w:rPr>
              <w:t>（赠送景点，不去不退）</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拥有丰富的自然风光和独特的地貌，领略土司边贸风云历史，聆听千年湘西神秘往事。湘西和汉地通商的重要口岸；也是湘西土司文化重要的组成部分！2015年湘西土司文化被列入湖南首个世界文化遗产。</w:t>
            </w:r>
            <w:bookmarkEnd w:id="1"/>
          </w:p>
        </w:tc>
      </w:tr>
      <w:tr w14:paraId="5AAF3D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FBF9F04">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 xml:space="preserve">第六天  </w:t>
            </w:r>
            <w:r>
              <w:rPr>
                <w:rFonts w:hint="eastAsia" w:ascii="微软雅黑" w:hAnsi="微软雅黑" w:eastAsia="微软雅黑" w:cs="微软雅黑"/>
                <w:b/>
                <w:bCs/>
                <w:color w:val="FFFFFF"/>
                <w:sz w:val="28"/>
                <w:szCs w:val="28"/>
                <w:lang w:eastAsia="zh-CN"/>
              </w:rPr>
              <w:t>张家界</w:t>
            </w:r>
            <w:r>
              <w:rPr>
                <w:rFonts w:hint="eastAsia" w:ascii="微软雅黑" w:hAnsi="微软雅黑" w:eastAsia="微软雅黑" w:cs="微软雅黑"/>
                <w:b/>
                <w:bCs/>
                <w:color w:val="FFFFFF"/>
                <w:sz w:val="28"/>
                <w:szCs w:val="28"/>
              </w:rPr>
              <w:t>→出发地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 xml:space="preserve">用餐/早 </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2576E5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54D35F75">
            <w:pPr>
              <w:spacing w:line="360" w:lineRule="exact"/>
              <w:ind w:firstLine="420" w:firstLineChars="200"/>
            </w:pPr>
            <w:r>
              <w:rPr>
                <w:rFonts w:hint="eastAsia" w:ascii="微软雅黑" w:hAnsi="微软雅黑" w:eastAsia="微软雅黑" w:cs="微软雅黑"/>
              </w:rPr>
              <w:t>早餐后</w:t>
            </w:r>
            <w:r>
              <w:rPr>
                <w:rFonts w:hint="eastAsia" w:ascii="微软雅黑" w:hAnsi="微软雅黑" w:eastAsia="微软雅黑" w:cs="微软雅黑"/>
                <w:lang w:val="en-US" w:eastAsia="zh-CN"/>
              </w:rPr>
              <w:t>根据航班返回出发地。</w:t>
            </w:r>
          </w:p>
        </w:tc>
      </w:tr>
      <w:tr w14:paraId="470277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1F04220">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3BCFA6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6A5AFED7">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1ADE9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CFD3022">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59DDE7FF">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jc w:val="both"/>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1、门票：</w:t>
            </w:r>
            <w:r>
              <w:rPr>
                <w:rFonts w:hint="eastAsia" w:ascii="微软雅黑" w:hAnsi="微软雅黑" w:eastAsia="微软雅黑" w:cs="微软雅黑"/>
                <w:sz w:val="21"/>
                <w:szCs w:val="22"/>
                <w:lang w:val="en-US" w:eastAsia="zh-CN" w:bidi="zh-CN"/>
              </w:rPr>
              <w:t>张家界国家森林公园、天门山国家森林公园</w:t>
            </w:r>
          </w:p>
          <w:p w14:paraId="2EF964F6">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rightChars="0" w:firstLine="10" w:firstLineChars="5"/>
              <w:jc w:val="both"/>
              <w:textAlignment w:val="auto"/>
              <w:rPr>
                <w:rFonts w:hint="eastAsia" w:ascii="微软雅黑" w:hAnsi="微软雅黑" w:eastAsia="微软雅黑" w:cs="微软雅黑"/>
                <w:color w:val="FF0000"/>
                <w:sz w:val="21"/>
                <w:szCs w:val="22"/>
                <w:lang w:val="en-US" w:eastAsia="zh-CN" w:bidi="zh-CN"/>
              </w:rPr>
            </w:pPr>
            <w:r>
              <w:rPr>
                <w:rFonts w:hint="eastAsia" w:ascii="微软雅黑" w:hAnsi="微软雅黑" w:eastAsia="微软雅黑" w:cs="微软雅黑"/>
                <w:color w:val="FF0000"/>
                <w:sz w:val="21"/>
                <w:szCs w:val="22"/>
                <w:lang w:val="en-US" w:eastAsia="zh-CN" w:bidi="zh-CN"/>
              </w:rPr>
              <w:t>（赠送：百龙天梯单程、天门山扶梯、鞋套，韶山环保车、凤凰接驳车、湘西苗寨、土司府城、张家界魅力湘西表演/千古情   所有景点无优无免无退费）</w:t>
            </w:r>
          </w:p>
          <w:p w14:paraId="2565BD17">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left="0" w:leftChars="0" w:right="0" w:firstLine="0" w:firstLineChars="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酒店：</w:t>
            </w:r>
            <w:r>
              <w:rPr>
                <w:rFonts w:hint="eastAsia" w:ascii="微软雅黑" w:hAnsi="微软雅黑" w:eastAsia="微软雅黑" w:cs="微软雅黑"/>
                <w:sz w:val="21"/>
                <w:szCs w:val="22"/>
                <w:lang w:val="en-US" w:eastAsia="zh-CN" w:bidi="zh-CN"/>
              </w:rPr>
              <w:t xml:space="preserve">全程商务型酒店或特色客栈，不含单房差500元/人，酒店无正规三人间，不占床不退费         </w:t>
            </w:r>
          </w:p>
          <w:p w14:paraId="5ED5462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420" w:leftChars="0" w:right="0" w:hanging="420" w:hangingChars="200"/>
              <w:textAlignment w:val="auto"/>
              <w:rPr>
                <w:rFonts w:hint="default" w:ascii="微软雅黑" w:hAnsi="微软雅黑" w:eastAsia="微软雅黑" w:cs="微软雅黑"/>
                <w:lang w:val="en-US" w:eastAsia="zh-CN"/>
              </w:rPr>
            </w:pPr>
            <w:r>
              <w:rPr>
                <w:rFonts w:hint="eastAsia" w:ascii="微软雅黑" w:hAnsi="微软雅黑" w:eastAsia="微软雅黑" w:cs="微软雅黑"/>
              </w:rPr>
              <w:t xml:space="preserve">3、餐费：5 早 </w:t>
            </w:r>
            <w:r>
              <w:rPr>
                <w:rFonts w:hint="eastAsia" w:ascii="微软雅黑" w:hAnsi="微软雅黑" w:eastAsia="微软雅黑" w:cs="微软雅黑"/>
                <w:lang w:val="en-US" w:eastAsia="zh-CN"/>
              </w:rPr>
              <w:t>5</w:t>
            </w:r>
            <w:r>
              <w:rPr>
                <w:rFonts w:hint="eastAsia" w:ascii="微软雅黑" w:hAnsi="微软雅黑" w:eastAsia="微软雅黑" w:cs="微软雅黑"/>
              </w:rPr>
              <w:t xml:space="preserve"> 正餐</w:t>
            </w:r>
            <w:r>
              <w:rPr>
                <w:rFonts w:hint="eastAsia" w:ascii="微软雅黑" w:hAnsi="微软雅黑" w:eastAsia="微软雅黑" w:cs="微软雅黑"/>
                <w:sz w:val="21"/>
                <w:szCs w:val="22"/>
                <w:lang w:val="en-US" w:eastAsia="zh-CN" w:bidi="zh-CN"/>
              </w:rPr>
              <w:t>中含3个特色餐</w:t>
            </w:r>
            <w:r>
              <w:rPr>
                <w:rFonts w:hint="eastAsia" w:ascii="微软雅黑" w:hAnsi="微软雅黑" w:eastAsia="微软雅黑" w:cs="微软雅黑"/>
              </w:rPr>
              <w:t xml:space="preserve"> 餐标 30/人，安排九菜一汤，十人一桌。正餐不用不退费亦不作等价交换！酒店房费包含早餐</w:t>
            </w:r>
            <w:r>
              <w:rPr>
                <w:rFonts w:hint="eastAsia" w:ascii="微软雅黑" w:hAnsi="微软雅黑" w:eastAsia="微软雅黑" w:cs="微软雅黑"/>
                <w:lang w:eastAsia="zh-CN"/>
              </w:rPr>
              <w:t>，儿童不占床不含早</w:t>
            </w:r>
            <w:r>
              <w:rPr>
                <w:rFonts w:hint="eastAsia" w:ascii="微软雅黑" w:hAnsi="微软雅黑" w:eastAsia="微软雅黑" w:cs="微软雅黑"/>
                <w:lang w:val="en-US" w:eastAsia="zh-CN"/>
              </w:rPr>
              <w:t xml:space="preserve"> </w:t>
            </w:r>
          </w:p>
          <w:p w14:paraId="76441B8C">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lang w:val="zh-CN"/>
              </w:rPr>
            </w:pPr>
            <w:r>
              <w:rPr>
                <w:rFonts w:hint="eastAsia" w:ascii="微软雅黑" w:hAnsi="微软雅黑" w:eastAsia="微软雅黑" w:cs="微软雅黑"/>
              </w:rPr>
              <w:t>4、交通：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178694DD">
            <w:pPr>
              <w:keepNext w:val="0"/>
              <w:keepLines w:val="0"/>
              <w:pageBreakBefore w:val="0"/>
              <w:widowControl w:val="0"/>
              <w:kinsoku/>
              <w:wordWrap/>
              <w:overflowPunct/>
              <w:topLinePunct w:val="0"/>
              <w:autoSpaceDE/>
              <w:autoSpaceDN/>
              <w:bidi w:val="0"/>
              <w:adjustRightInd/>
              <w:snapToGrid/>
              <w:spacing w:line="360" w:lineRule="exact"/>
              <w:ind w:left="0" w:leftChars="0" w:right="0"/>
              <w:textAlignment w:val="auto"/>
              <w:rPr>
                <w:rFonts w:hint="eastAsia" w:ascii="微软雅黑" w:hAnsi="微软雅黑" w:eastAsia="微软雅黑" w:cs="微软雅黑"/>
              </w:rPr>
            </w:pPr>
            <w:r>
              <w:rPr>
                <w:rFonts w:hint="eastAsia" w:ascii="微软雅黑" w:hAnsi="微软雅黑" w:eastAsia="微软雅黑" w:cs="微软雅黑"/>
              </w:rPr>
              <w:t xml:space="preserve">5、导服：国导证导游服务   </w:t>
            </w:r>
          </w:p>
          <w:p w14:paraId="32F26D7B">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6、全程1生活超市（生活超市不算店）</w:t>
            </w:r>
            <w:r>
              <w:rPr>
                <w:rFonts w:hint="eastAsia" w:ascii="微软雅黑" w:hAnsi="微软雅黑" w:eastAsia="微软雅黑" w:cs="微软雅黑"/>
                <w:lang w:val="zh-CN"/>
              </w:rPr>
              <w:t>，景区内部凤凰、土司城、苗寨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10E6651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19" w:hRule="atLeast"/>
        </w:trPr>
        <w:tc>
          <w:tcPr>
            <w:tcW w:w="11628" w:type="dxa"/>
            <w:gridSpan w:val="6"/>
            <w:tcBorders>
              <w:top w:val="single" w:color="auto" w:sz="4" w:space="0"/>
              <w:left w:val="single" w:color="auto" w:sz="4" w:space="0"/>
              <w:bottom w:val="single" w:color="auto" w:sz="4" w:space="0"/>
              <w:right w:val="single" w:color="auto" w:sz="4" w:space="0"/>
            </w:tcBorders>
          </w:tcPr>
          <w:p w14:paraId="68EE7918">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儿童接待标准</w:t>
            </w:r>
            <w:r>
              <w:rPr>
                <w:rFonts w:hint="eastAsia" w:ascii="微软雅黑" w:hAnsi="微软雅黑" w:eastAsia="微软雅黑" w:cs="微软雅黑"/>
                <w:b/>
                <w:bCs/>
                <w:sz w:val="24"/>
                <w:highlight w:val="yellow"/>
                <w:lang w:val="en-US" w:eastAsia="zh-CN"/>
              </w:rPr>
              <w:t>☆☆</w:t>
            </w:r>
          </w:p>
          <w:p w14:paraId="244ACC1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1、儿童价格执行标准：身高1.2米以下</w:t>
            </w:r>
            <w:r>
              <w:rPr>
                <w:rFonts w:hint="eastAsia" w:ascii="微软雅黑" w:hAnsi="微软雅黑" w:eastAsia="微软雅黑" w:cs="微软雅黑"/>
                <w:lang w:eastAsia="zh-CN"/>
              </w:rPr>
              <w:t>，</w:t>
            </w:r>
            <w:r>
              <w:rPr>
                <w:rFonts w:hint="eastAsia" w:ascii="微软雅黑" w:hAnsi="微软雅黑" w:eastAsia="微软雅黑" w:cs="微软雅黑"/>
              </w:rPr>
              <w:t>1</w:t>
            </w:r>
            <w:r>
              <w:rPr>
                <w:rFonts w:hint="eastAsia" w:ascii="微软雅黑" w:hAnsi="微软雅黑" w:eastAsia="微软雅黑" w:cs="微软雅黑"/>
                <w:lang w:val="en-US" w:eastAsia="zh-CN"/>
              </w:rPr>
              <w:t>4</w:t>
            </w:r>
            <w:r>
              <w:rPr>
                <w:rFonts w:hint="eastAsia" w:ascii="微软雅黑" w:hAnsi="微软雅黑" w:eastAsia="微软雅黑" w:cs="微软雅黑"/>
              </w:rPr>
              <w:t>周岁以下</w:t>
            </w:r>
          </w:p>
          <w:p w14:paraId="41A4B69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2、儿童价格包含：当地接待车位费、全程半餐费、导游服务费</w:t>
            </w:r>
          </w:p>
          <w:p w14:paraId="393BC799">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3、儿童价格不含：住宿、门票；若产生费用现付当地导游；儿童不含成人报价中的赠送门票项目</w:t>
            </w:r>
          </w:p>
        </w:tc>
      </w:tr>
      <w:tr w14:paraId="11D52A2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56EC3BE5">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7D506274">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color w:val="FF0000"/>
                <w:sz w:val="21"/>
                <w:szCs w:val="21"/>
                <w:lang w:val="en-US" w:eastAsia="zh-CN" w:bidi="zh-CN"/>
              </w:rPr>
              <w:t>正常收客年龄26-74周岁 2-8人同组</w:t>
            </w:r>
          </w:p>
          <w:p w14:paraId="620F6995">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1、26周岁以下按成人报名或69周岁以上的需增加500元/人（70岁以上需亲属陪同，提供健康证明，签好免责）</w:t>
            </w:r>
          </w:p>
          <w:p w14:paraId="6438DAAB">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2、单男单女全男，省内客人在成人价格基础上加500元/人附加费</w:t>
            </w:r>
          </w:p>
          <w:p w14:paraId="62D2B9CF">
            <w:pPr>
              <w:pStyle w:val="6"/>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3、2-8人同组，若一组超8人以上 ，附加费按照每人增加500元/人结算，同组超10人拒 绝报名），聋哑人士，行动不便者，孕妇，旅游同行，导游证，记者，回民 ，纯学生，75岁以上拒绝报名（特殊情况另议）</w:t>
            </w:r>
          </w:p>
          <w:p w14:paraId="57E87E92">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4、</w:t>
            </w:r>
            <w:r>
              <w:rPr>
                <w:rFonts w:hint="eastAsia" w:ascii="微软雅黑" w:hAnsi="微软雅黑" w:eastAsia="微软雅黑" w:cs="微软雅黑"/>
                <w:color w:val="FF0000"/>
                <w:sz w:val="21"/>
                <w:szCs w:val="22"/>
                <w:lang w:val="en-US" w:eastAsia="zh-CN" w:bidi="zh-CN"/>
              </w:rPr>
              <w:t>14岁以下儿童须按儿童报名</w:t>
            </w:r>
          </w:p>
          <w:p w14:paraId="6823195D">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5、</w:t>
            </w:r>
            <w:r>
              <w:rPr>
                <w:rFonts w:hint="eastAsia" w:ascii="微软雅黑" w:hAnsi="微软雅黑" w:eastAsia="微软雅黑" w:cs="微软雅黑"/>
                <w:color w:val="FF0000"/>
                <w:sz w:val="21"/>
                <w:szCs w:val="22"/>
                <w:lang w:val="en-US" w:eastAsia="zh-CN" w:bidi="zh-CN"/>
              </w:rPr>
              <w:t>仅限山东客人，东北身份证+200元/人</w:t>
            </w:r>
          </w:p>
          <w:p w14:paraId="336D404E">
            <w:pPr>
              <w:pStyle w:val="6"/>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6、</w:t>
            </w:r>
            <w:r>
              <w:rPr>
                <w:rFonts w:hint="eastAsia" w:ascii="微软雅黑" w:hAnsi="微软雅黑" w:eastAsia="微软雅黑" w:cs="微软雅黑"/>
                <w:lang w:val="en-US" w:eastAsia="zh-CN"/>
              </w:rPr>
              <w:t>若因客人任何自身原因导致不能正常走完行程或者提前离团，需补加团费700元/人 </w:t>
            </w:r>
          </w:p>
        </w:tc>
      </w:tr>
      <w:tr w14:paraId="27CAAE2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tcPr>
          <w:p w14:paraId="07B85BB2">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2510A3B8">
            <w:pPr>
              <w:keepNext w:val="0"/>
              <w:keepLines w:val="0"/>
              <w:pageBreakBefore w:val="0"/>
              <w:widowControl w:val="0"/>
              <w:numPr>
                <w:ilvl w:val="0"/>
                <w:numId w:val="2"/>
              </w:numPr>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长沙：莫林、嘉玺、群晟、华宇、楠庭、达璇、汇和、逸庭魅致、东昇、橘子、康莱、凯特、丽日王朝或同级</w:t>
            </w:r>
          </w:p>
          <w:p w14:paraId="00932E6A">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210" w:leftChars="0" w:right="437" w:hanging="210" w:hangingChars="10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2</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、张家界：</w:t>
            </w:r>
            <w:r>
              <w:rPr>
                <w:rFonts w:hint="eastAsia" w:ascii="微软雅黑" w:hAnsi="微软雅黑" w:eastAsia="微软雅黑" w:cs="微软雅黑"/>
                <w:b w:val="0"/>
                <w:bCs w:val="0"/>
                <w:lang w:val="en-US" w:eastAsia="zh-CN"/>
              </w:rPr>
              <w:t>白蓝溪酒店、盘龙、左转、蛮好居、碧泓山庄、半月溪、百丈峡、京溪国际、唯一风尚、和瑞山庄等同级</w:t>
            </w:r>
          </w:p>
          <w:p w14:paraId="00216D21">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3</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、凤凰：</w:t>
            </w: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金凤、锦绣凤凰、融晟酒店、名都、金百汇、金伯利、天河商务、 维晶、芭堤雅或同级酒店</w:t>
            </w:r>
          </w:p>
          <w:p w14:paraId="540523B7">
            <w:pPr>
              <w:pStyle w:val="10"/>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lang w:val="en-US" w:eastAsia="zh-CN"/>
              </w:rPr>
            </w:pPr>
            <w:r>
              <w:rPr>
                <w:rFonts w:hint="eastAsia" w:ascii="微软雅黑" w:hAnsi="微软雅黑" w:eastAsia="微软雅黑" w:cs="微软雅黑"/>
                <w:b w:val="0"/>
                <w:bCs w:val="0"/>
                <w:lang w:val="zh-CN" w:eastAsia="zh-CN"/>
              </w:rPr>
              <w:t>自然单间请补单房差；酒店白天不开空调</w:t>
            </w:r>
          </w:p>
        </w:tc>
      </w:tr>
      <w:tr w14:paraId="27C5A7F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504DB322">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7031D4EF">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color w:val="FF0000"/>
                <w:lang w:val="zh-CN" w:eastAsia="zh-CN"/>
              </w:rPr>
              <w:t>此行程为特惠打包价，所有优惠人群均无退费；老年人、学生参团请带好学生证，老年证，身份证或户口本等相关证件；配合出示证件，无退费。</w:t>
            </w:r>
          </w:p>
        </w:tc>
      </w:tr>
      <w:tr w14:paraId="66F437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tcPr>
          <w:p w14:paraId="206BC7C6">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02EE4154">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3DBE145E">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0FF8750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0701180E">
            <w:pPr>
              <w:pStyle w:val="10"/>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6440D26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3" w:hRule="atLeast"/>
        </w:trPr>
        <w:tc>
          <w:tcPr>
            <w:tcW w:w="11628" w:type="dxa"/>
            <w:gridSpan w:val="6"/>
            <w:tcBorders>
              <w:top w:val="single" w:color="auto" w:sz="4" w:space="0"/>
              <w:left w:val="single" w:color="auto" w:sz="4" w:space="0"/>
              <w:bottom w:val="single" w:color="auto" w:sz="4" w:space="0"/>
              <w:right w:val="single" w:color="auto" w:sz="4" w:space="0"/>
            </w:tcBorders>
          </w:tcPr>
          <w:p w14:paraId="7336309D">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1D990DC3">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77E9089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23F9F9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09F7158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5AD946F1">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1DD747F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024A5F1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40936D4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290B8949">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69D438E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4FAD50D7">
      <w:pPr>
        <w:pStyle w:val="6"/>
        <w:rPr>
          <w:rFonts w:hint="eastAsia"/>
          <w:lang w:eastAsia="zh-CN"/>
        </w:rPr>
      </w:pPr>
    </w:p>
    <w:p w14:paraId="72EC596D">
      <w:pPr>
        <w:pStyle w:val="6"/>
        <w:rPr>
          <w:rFonts w:hint="eastAsia"/>
          <w:lang w:eastAsia="zh-CN"/>
        </w:rPr>
      </w:pPr>
    </w:p>
    <w:p w14:paraId="2128B66B">
      <w:pPr>
        <w:pStyle w:val="6"/>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D507ED">
    <w:pPr>
      <w:pStyle w:val="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604E67">
    <w:pPr>
      <w:pStyle w:val="9"/>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abstractNum w:abstractNumId="1">
    <w:nsid w:val="E9BA62C8"/>
    <w:multiLevelType w:val="singleLevel"/>
    <w:tmpl w:val="E9BA62C8"/>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displayBackgroundShape w:val="1"/>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WZlYTFmNTMyYzNlNDFiMjQwNTRlOTkyNTM0NDg3MjgifQ=="/>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E08BF"/>
    <w:rsid w:val="00D25BEC"/>
    <w:rsid w:val="00D32423"/>
    <w:rsid w:val="00D35E3B"/>
    <w:rsid w:val="00D4584B"/>
    <w:rsid w:val="00D945DF"/>
    <w:rsid w:val="00DD23A0"/>
    <w:rsid w:val="00EF3746"/>
    <w:rsid w:val="00EF7396"/>
    <w:rsid w:val="00F22D54"/>
    <w:rsid w:val="00F307CA"/>
    <w:rsid w:val="00F3161D"/>
    <w:rsid w:val="00F71E5F"/>
    <w:rsid w:val="00FB133A"/>
    <w:rsid w:val="0101059E"/>
    <w:rsid w:val="011C3212"/>
    <w:rsid w:val="011C4CF6"/>
    <w:rsid w:val="0157064E"/>
    <w:rsid w:val="0215330B"/>
    <w:rsid w:val="02492FB3"/>
    <w:rsid w:val="028265A2"/>
    <w:rsid w:val="032D0FCD"/>
    <w:rsid w:val="03343D40"/>
    <w:rsid w:val="034E7440"/>
    <w:rsid w:val="0378130B"/>
    <w:rsid w:val="03A87411"/>
    <w:rsid w:val="04DD7012"/>
    <w:rsid w:val="05077321"/>
    <w:rsid w:val="050A2905"/>
    <w:rsid w:val="05BB103F"/>
    <w:rsid w:val="05C8291B"/>
    <w:rsid w:val="05EB75A5"/>
    <w:rsid w:val="06897EFF"/>
    <w:rsid w:val="06A27213"/>
    <w:rsid w:val="06BA3154"/>
    <w:rsid w:val="06C8688F"/>
    <w:rsid w:val="06D25850"/>
    <w:rsid w:val="0704296D"/>
    <w:rsid w:val="07134710"/>
    <w:rsid w:val="072C1A93"/>
    <w:rsid w:val="073B1CE0"/>
    <w:rsid w:val="07723FAA"/>
    <w:rsid w:val="07AF3996"/>
    <w:rsid w:val="07D30491"/>
    <w:rsid w:val="07E9375F"/>
    <w:rsid w:val="080639DA"/>
    <w:rsid w:val="084251FA"/>
    <w:rsid w:val="08863B53"/>
    <w:rsid w:val="088B5A3D"/>
    <w:rsid w:val="089B2EF1"/>
    <w:rsid w:val="08E5797A"/>
    <w:rsid w:val="091D389B"/>
    <w:rsid w:val="09337B5B"/>
    <w:rsid w:val="09420551"/>
    <w:rsid w:val="098442F1"/>
    <w:rsid w:val="09905470"/>
    <w:rsid w:val="09B94F9F"/>
    <w:rsid w:val="09C35CEF"/>
    <w:rsid w:val="09D10E6F"/>
    <w:rsid w:val="09E225A5"/>
    <w:rsid w:val="09F65C36"/>
    <w:rsid w:val="09FB503E"/>
    <w:rsid w:val="0A3D797F"/>
    <w:rsid w:val="0A8473AE"/>
    <w:rsid w:val="0A9760CA"/>
    <w:rsid w:val="0AB416DB"/>
    <w:rsid w:val="0B4A3C17"/>
    <w:rsid w:val="0B7C24E7"/>
    <w:rsid w:val="0B7F3A6A"/>
    <w:rsid w:val="0B9B10B5"/>
    <w:rsid w:val="0C096925"/>
    <w:rsid w:val="0C450D6C"/>
    <w:rsid w:val="0C6F3428"/>
    <w:rsid w:val="0C7E69E5"/>
    <w:rsid w:val="0CE63B48"/>
    <w:rsid w:val="0D5F66AE"/>
    <w:rsid w:val="0D6C10EE"/>
    <w:rsid w:val="0DC9323A"/>
    <w:rsid w:val="0E214EC1"/>
    <w:rsid w:val="0E4949A1"/>
    <w:rsid w:val="0E59465B"/>
    <w:rsid w:val="0E850379"/>
    <w:rsid w:val="0EF273CF"/>
    <w:rsid w:val="0FE656DF"/>
    <w:rsid w:val="10F16AE3"/>
    <w:rsid w:val="10F62635"/>
    <w:rsid w:val="11375BEE"/>
    <w:rsid w:val="11427B0D"/>
    <w:rsid w:val="11B34360"/>
    <w:rsid w:val="12361B78"/>
    <w:rsid w:val="12EF0A4F"/>
    <w:rsid w:val="13097623"/>
    <w:rsid w:val="13371388"/>
    <w:rsid w:val="136A4169"/>
    <w:rsid w:val="13C66D1B"/>
    <w:rsid w:val="13EC55EC"/>
    <w:rsid w:val="13F66591"/>
    <w:rsid w:val="14321F2A"/>
    <w:rsid w:val="143C7B63"/>
    <w:rsid w:val="14622E02"/>
    <w:rsid w:val="150D1EBE"/>
    <w:rsid w:val="15B0279D"/>
    <w:rsid w:val="15B36F61"/>
    <w:rsid w:val="15D42860"/>
    <w:rsid w:val="15FF7837"/>
    <w:rsid w:val="161B15A8"/>
    <w:rsid w:val="16960D6D"/>
    <w:rsid w:val="16AF39B2"/>
    <w:rsid w:val="16F7733F"/>
    <w:rsid w:val="17A77194"/>
    <w:rsid w:val="17AB7D29"/>
    <w:rsid w:val="17AE51C3"/>
    <w:rsid w:val="17AF7A04"/>
    <w:rsid w:val="183B6DAB"/>
    <w:rsid w:val="189A56D0"/>
    <w:rsid w:val="18BC4164"/>
    <w:rsid w:val="19F63A29"/>
    <w:rsid w:val="1A066980"/>
    <w:rsid w:val="1A18361C"/>
    <w:rsid w:val="1A4B1305"/>
    <w:rsid w:val="1AA41354"/>
    <w:rsid w:val="1B4A6010"/>
    <w:rsid w:val="1BA04EFC"/>
    <w:rsid w:val="1C2F10F1"/>
    <w:rsid w:val="1C396506"/>
    <w:rsid w:val="1C4C0D55"/>
    <w:rsid w:val="1C6F14EE"/>
    <w:rsid w:val="1CA647A6"/>
    <w:rsid w:val="1CA66D5E"/>
    <w:rsid w:val="1CED73D2"/>
    <w:rsid w:val="1D185ADC"/>
    <w:rsid w:val="1D5C01C9"/>
    <w:rsid w:val="1D9751A0"/>
    <w:rsid w:val="1DCC5DB6"/>
    <w:rsid w:val="1E3501C4"/>
    <w:rsid w:val="1E841FFE"/>
    <w:rsid w:val="1E9D0A15"/>
    <w:rsid w:val="1F220A99"/>
    <w:rsid w:val="1F246147"/>
    <w:rsid w:val="1F4D65B6"/>
    <w:rsid w:val="1FBC28E0"/>
    <w:rsid w:val="200F7270"/>
    <w:rsid w:val="2020322B"/>
    <w:rsid w:val="205B6E3B"/>
    <w:rsid w:val="209113C6"/>
    <w:rsid w:val="20995C21"/>
    <w:rsid w:val="20D032CF"/>
    <w:rsid w:val="21090163"/>
    <w:rsid w:val="21B76F72"/>
    <w:rsid w:val="22233137"/>
    <w:rsid w:val="22244B28"/>
    <w:rsid w:val="22464DDD"/>
    <w:rsid w:val="22840166"/>
    <w:rsid w:val="22E06CA1"/>
    <w:rsid w:val="22E744D4"/>
    <w:rsid w:val="23130E25"/>
    <w:rsid w:val="23D5466C"/>
    <w:rsid w:val="23E40D09"/>
    <w:rsid w:val="240750C5"/>
    <w:rsid w:val="257A557F"/>
    <w:rsid w:val="25986633"/>
    <w:rsid w:val="25C27A8F"/>
    <w:rsid w:val="26A435E6"/>
    <w:rsid w:val="27026F8E"/>
    <w:rsid w:val="2722676E"/>
    <w:rsid w:val="27914A0E"/>
    <w:rsid w:val="27A537A4"/>
    <w:rsid w:val="27F33DF7"/>
    <w:rsid w:val="28245521"/>
    <w:rsid w:val="283D5649"/>
    <w:rsid w:val="2858552C"/>
    <w:rsid w:val="28692F0F"/>
    <w:rsid w:val="28DE2432"/>
    <w:rsid w:val="29112363"/>
    <w:rsid w:val="295469FF"/>
    <w:rsid w:val="29607497"/>
    <w:rsid w:val="29991642"/>
    <w:rsid w:val="29AC104D"/>
    <w:rsid w:val="29BC1CC6"/>
    <w:rsid w:val="29D013B1"/>
    <w:rsid w:val="29ED0967"/>
    <w:rsid w:val="2A397D52"/>
    <w:rsid w:val="2A4915D0"/>
    <w:rsid w:val="2A4B564D"/>
    <w:rsid w:val="2AAB5DE7"/>
    <w:rsid w:val="2AED28A3"/>
    <w:rsid w:val="2BAB2B4A"/>
    <w:rsid w:val="2BF57730"/>
    <w:rsid w:val="2C493A17"/>
    <w:rsid w:val="2CB96718"/>
    <w:rsid w:val="2CE850D0"/>
    <w:rsid w:val="2CF439DB"/>
    <w:rsid w:val="2D234CF5"/>
    <w:rsid w:val="2D7050C6"/>
    <w:rsid w:val="2DA84860"/>
    <w:rsid w:val="2DC860A6"/>
    <w:rsid w:val="2DF67CC1"/>
    <w:rsid w:val="2E344345"/>
    <w:rsid w:val="2EC75720"/>
    <w:rsid w:val="2EDE4234"/>
    <w:rsid w:val="2EE948D6"/>
    <w:rsid w:val="2EF53261"/>
    <w:rsid w:val="2F046E1E"/>
    <w:rsid w:val="2F357C66"/>
    <w:rsid w:val="2F4F4441"/>
    <w:rsid w:val="2FE11772"/>
    <w:rsid w:val="304F7202"/>
    <w:rsid w:val="309729E7"/>
    <w:rsid w:val="30AA08EF"/>
    <w:rsid w:val="30BA4CEE"/>
    <w:rsid w:val="30D42767"/>
    <w:rsid w:val="30DF0305"/>
    <w:rsid w:val="30DF67EA"/>
    <w:rsid w:val="315D7DA4"/>
    <w:rsid w:val="31646571"/>
    <w:rsid w:val="319A0FE4"/>
    <w:rsid w:val="31F10857"/>
    <w:rsid w:val="321C2BAF"/>
    <w:rsid w:val="32A3555E"/>
    <w:rsid w:val="32C2475E"/>
    <w:rsid w:val="331B16C0"/>
    <w:rsid w:val="33261046"/>
    <w:rsid w:val="33641229"/>
    <w:rsid w:val="33784CD4"/>
    <w:rsid w:val="33963A1E"/>
    <w:rsid w:val="33DD2C4D"/>
    <w:rsid w:val="33FC4F3D"/>
    <w:rsid w:val="340C3D9A"/>
    <w:rsid w:val="342E081E"/>
    <w:rsid w:val="358C22F5"/>
    <w:rsid w:val="36276C4F"/>
    <w:rsid w:val="36752810"/>
    <w:rsid w:val="371B773A"/>
    <w:rsid w:val="37305A51"/>
    <w:rsid w:val="37387AE2"/>
    <w:rsid w:val="37FA789F"/>
    <w:rsid w:val="37FF748C"/>
    <w:rsid w:val="381F242D"/>
    <w:rsid w:val="3901371D"/>
    <w:rsid w:val="39B44CE2"/>
    <w:rsid w:val="39D4252A"/>
    <w:rsid w:val="39ED3ED1"/>
    <w:rsid w:val="3A9665B5"/>
    <w:rsid w:val="3AB309C7"/>
    <w:rsid w:val="3AEF3ACE"/>
    <w:rsid w:val="3BEE365F"/>
    <w:rsid w:val="3C0C0AA1"/>
    <w:rsid w:val="3C164A8D"/>
    <w:rsid w:val="3C4D011D"/>
    <w:rsid w:val="3C5710E9"/>
    <w:rsid w:val="3CB7466E"/>
    <w:rsid w:val="3E5F22F2"/>
    <w:rsid w:val="3E6413E1"/>
    <w:rsid w:val="3F1407B5"/>
    <w:rsid w:val="3F1E55F3"/>
    <w:rsid w:val="3F440007"/>
    <w:rsid w:val="3F711169"/>
    <w:rsid w:val="3F895B21"/>
    <w:rsid w:val="3FC93043"/>
    <w:rsid w:val="406B3968"/>
    <w:rsid w:val="40B04456"/>
    <w:rsid w:val="40FB5581"/>
    <w:rsid w:val="4119604E"/>
    <w:rsid w:val="41554B3E"/>
    <w:rsid w:val="4226335B"/>
    <w:rsid w:val="42601C60"/>
    <w:rsid w:val="428E46BB"/>
    <w:rsid w:val="429152B6"/>
    <w:rsid w:val="429945EC"/>
    <w:rsid w:val="43170206"/>
    <w:rsid w:val="43C51CEE"/>
    <w:rsid w:val="43D51CF5"/>
    <w:rsid w:val="43D93497"/>
    <w:rsid w:val="44267114"/>
    <w:rsid w:val="449414B5"/>
    <w:rsid w:val="44CE29A6"/>
    <w:rsid w:val="45164A6A"/>
    <w:rsid w:val="45295867"/>
    <w:rsid w:val="453C1DDB"/>
    <w:rsid w:val="459840BF"/>
    <w:rsid w:val="45C75A05"/>
    <w:rsid w:val="460401AE"/>
    <w:rsid w:val="46335606"/>
    <w:rsid w:val="46454B73"/>
    <w:rsid w:val="46486737"/>
    <w:rsid w:val="46A00465"/>
    <w:rsid w:val="471D67E3"/>
    <w:rsid w:val="4762127A"/>
    <w:rsid w:val="47830661"/>
    <w:rsid w:val="47EA5D88"/>
    <w:rsid w:val="47F210A1"/>
    <w:rsid w:val="48030BB8"/>
    <w:rsid w:val="481C1C7A"/>
    <w:rsid w:val="4836317F"/>
    <w:rsid w:val="48517B76"/>
    <w:rsid w:val="486648F5"/>
    <w:rsid w:val="487842FA"/>
    <w:rsid w:val="48B6105C"/>
    <w:rsid w:val="48E63442"/>
    <w:rsid w:val="495D72B2"/>
    <w:rsid w:val="4976505A"/>
    <w:rsid w:val="49B64CFA"/>
    <w:rsid w:val="49ED548C"/>
    <w:rsid w:val="49F161BC"/>
    <w:rsid w:val="4A4A4481"/>
    <w:rsid w:val="4A590F64"/>
    <w:rsid w:val="4A88568C"/>
    <w:rsid w:val="4B711B74"/>
    <w:rsid w:val="4BF950AC"/>
    <w:rsid w:val="4C212059"/>
    <w:rsid w:val="4C604B48"/>
    <w:rsid w:val="4C813A93"/>
    <w:rsid w:val="4C887A2D"/>
    <w:rsid w:val="4CB521FE"/>
    <w:rsid w:val="4CCC7CCB"/>
    <w:rsid w:val="4CDB3060"/>
    <w:rsid w:val="4CF0081A"/>
    <w:rsid w:val="4D1C581A"/>
    <w:rsid w:val="4D576E1A"/>
    <w:rsid w:val="4D5D122C"/>
    <w:rsid w:val="4D832CE2"/>
    <w:rsid w:val="4D866514"/>
    <w:rsid w:val="4DC834CB"/>
    <w:rsid w:val="4DCD52CE"/>
    <w:rsid w:val="4ED93AEE"/>
    <w:rsid w:val="4EF30950"/>
    <w:rsid w:val="4F0202B4"/>
    <w:rsid w:val="4F2D45BF"/>
    <w:rsid w:val="4F3802E4"/>
    <w:rsid w:val="4F5F5742"/>
    <w:rsid w:val="4F8B1BBF"/>
    <w:rsid w:val="4F8E75F4"/>
    <w:rsid w:val="4FA02EC7"/>
    <w:rsid w:val="508D440A"/>
    <w:rsid w:val="5103733B"/>
    <w:rsid w:val="511E308E"/>
    <w:rsid w:val="51217D24"/>
    <w:rsid w:val="51560851"/>
    <w:rsid w:val="521E562C"/>
    <w:rsid w:val="523C2D3F"/>
    <w:rsid w:val="52926B8C"/>
    <w:rsid w:val="52F03774"/>
    <w:rsid w:val="538B0C1D"/>
    <w:rsid w:val="53C84C9E"/>
    <w:rsid w:val="540602EE"/>
    <w:rsid w:val="543D41FB"/>
    <w:rsid w:val="548E5CAE"/>
    <w:rsid w:val="54C97A24"/>
    <w:rsid w:val="54EC6085"/>
    <w:rsid w:val="551A3EF8"/>
    <w:rsid w:val="556A2277"/>
    <w:rsid w:val="55CF021E"/>
    <w:rsid w:val="55D93D68"/>
    <w:rsid w:val="561720BD"/>
    <w:rsid w:val="56405548"/>
    <w:rsid w:val="565076BF"/>
    <w:rsid w:val="56511950"/>
    <w:rsid w:val="56693A34"/>
    <w:rsid w:val="56891D8F"/>
    <w:rsid w:val="56C02F6A"/>
    <w:rsid w:val="570D43E2"/>
    <w:rsid w:val="57212E09"/>
    <w:rsid w:val="57284198"/>
    <w:rsid w:val="57C31B98"/>
    <w:rsid w:val="57CB0140"/>
    <w:rsid w:val="57E463C7"/>
    <w:rsid w:val="580C3794"/>
    <w:rsid w:val="584B455E"/>
    <w:rsid w:val="58744AC1"/>
    <w:rsid w:val="58B61A9D"/>
    <w:rsid w:val="58C33C5A"/>
    <w:rsid w:val="58CC3EAD"/>
    <w:rsid w:val="58F12E9E"/>
    <w:rsid w:val="59AC2042"/>
    <w:rsid w:val="59DF74B6"/>
    <w:rsid w:val="59F91E1B"/>
    <w:rsid w:val="59FB721F"/>
    <w:rsid w:val="5A596CA5"/>
    <w:rsid w:val="5A71367A"/>
    <w:rsid w:val="5B1B1D9F"/>
    <w:rsid w:val="5B312324"/>
    <w:rsid w:val="5B3F1E91"/>
    <w:rsid w:val="5B813524"/>
    <w:rsid w:val="5BA15B7C"/>
    <w:rsid w:val="5BAA265C"/>
    <w:rsid w:val="5BB1219F"/>
    <w:rsid w:val="5BC326E1"/>
    <w:rsid w:val="5BF37E5F"/>
    <w:rsid w:val="5C582767"/>
    <w:rsid w:val="5CF657CD"/>
    <w:rsid w:val="5D343E68"/>
    <w:rsid w:val="5D395EF9"/>
    <w:rsid w:val="5D460992"/>
    <w:rsid w:val="5DD4636B"/>
    <w:rsid w:val="5E856373"/>
    <w:rsid w:val="5EA17CC3"/>
    <w:rsid w:val="5EAF3E6C"/>
    <w:rsid w:val="5F3B0C4C"/>
    <w:rsid w:val="5F744E64"/>
    <w:rsid w:val="5FA76558"/>
    <w:rsid w:val="6018347B"/>
    <w:rsid w:val="60C73DE5"/>
    <w:rsid w:val="60EA73D6"/>
    <w:rsid w:val="61151C31"/>
    <w:rsid w:val="6133198D"/>
    <w:rsid w:val="617E0AF8"/>
    <w:rsid w:val="619304B3"/>
    <w:rsid w:val="61B45EE6"/>
    <w:rsid w:val="61B57C03"/>
    <w:rsid w:val="63006B79"/>
    <w:rsid w:val="630261E5"/>
    <w:rsid w:val="63600E30"/>
    <w:rsid w:val="637C1DF3"/>
    <w:rsid w:val="63D12988"/>
    <w:rsid w:val="63D342E8"/>
    <w:rsid w:val="640D5BAD"/>
    <w:rsid w:val="642C1302"/>
    <w:rsid w:val="645E744B"/>
    <w:rsid w:val="652A2C5E"/>
    <w:rsid w:val="65AE41C1"/>
    <w:rsid w:val="65B95839"/>
    <w:rsid w:val="65CB7234"/>
    <w:rsid w:val="65DC23AC"/>
    <w:rsid w:val="664D50DC"/>
    <w:rsid w:val="66935810"/>
    <w:rsid w:val="669D3B0F"/>
    <w:rsid w:val="66AC566C"/>
    <w:rsid w:val="67253A12"/>
    <w:rsid w:val="672E5BEB"/>
    <w:rsid w:val="677F50DB"/>
    <w:rsid w:val="678A07EE"/>
    <w:rsid w:val="67A4786A"/>
    <w:rsid w:val="67B67376"/>
    <w:rsid w:val="688B5C95"/>
    <w:rsid w:val="68920D7B"/>
    <w:rsid w:val="691335F2"/>
    <w:rsid w:val="69362744"/>
    <w:rsid w:val="694F4AE2"/>
    <w:rsid w:val="696401FF"/>
    <w:rsid w:val="699A749A"/>
    <w:rsid w:val="69AA7668"/>
    <w:rsid w:val="69C60062"/>
    <w:rsid w:val="6A206802"/>
    <w:rsid w:val="6AF7140F"/>
    <w:rsid w:val="6B7F494F"/>
    <w:rsid w:val="6B8D6287"/>
    <w:rsid w:val="6BC51A85"/>
    <w:rsid w:val="6BD1058C"/>
    <w:rsid w:val="6BD603FA"/>
    <w:rsid w:val="6BE57596"/>
    <w:rsid w:val="6C4F545A"/>
    <w:rsid w:val="6CED3119"/>
    <w:rsid w:val="6D091E11"/>
    <w:rsid w:val="6DA4008B"/>
    <w:rsid w:val="6DD9064C"/>
    <w:rsid w:val="6F20013B"/>
    <w:rsid w:val="71D37635"/>
    <w:rsid w:val="722A21C5"/>
    <w:rsid w:val="72BC780D"/>
    <w:rsid w:val="72C62AA1"/>
    <w:rsid w:val="72C75081"/>
    <w:rsid w:val="72F851A0"/>
    <w:rsid w:val="73195863"/>
    <w:rsid w:val="73B250BD"/>
    <w:rsid w:val="73CE3E28"/>
    <w:rsid w:val="743D4317"/>
    <w:rsid w:val="74CC21AE"/>
    <w:rsid w:val="74DD4D17"/>
    <w:rsid w:val="74EE6EA4"/>
    <w:rsid w:val="74FB715A"/>
    <w:rsid w:val="750B7969"/>
    <w:rsid w:val="75242E64"/>
    <w:rsid w:val="7530273D"/>
    <w:rsid w:val="753627B5"/>
    <w:rsid w:val="753D37FC"/>
    <w:rsid w:val="76290CF7"/>
    <w:rsid w:val="768F7938"/>
    <w:rsid w:val="76A13980"/>
    <w:rsid w:val="76F0652C"/>
    <w:rsid w:val="76F7344E"/>
    <w:rsid w:val="770F58C0"/>
    <w:rsid w:val="77221663"/>
    <w:rsid w:val="7731279D"/>
    <w:rsid w:val="77531EB4"/>
    <w:rsid w:val="777E2193"/>
    <w:rsid w:val="77E57235"/>
    <w:rsid w:val="77EE068E"/>
    <w:rsid w:val="782C529D"/>
    <w:rsid w:val="78E8447A"/>
    <w:rsid w:val="78F35532"/>
    <w:rsid w:val="78F665DB"/>
    <w:rsid w:val="792B2D90"/>
    <w:rsid w:val="795839D1"/>
    <w:rsid w:val="79600CBC"/>
    <w:rsid w:val="798B5156"/>
    <w:rsid w:val="799176AF"/>
    <w:rsid w:val="7AE42429"/>
    <w:rsid w:val="7B2A1EE8"/>
    <w:rsid w:val="7B4E7DC1"/>
    <w:rsid w:val="7B6F5A5B"/>
    <w:rsid w:val="7BDE4262"/>
    <w:rsid w:val="7C971957"/>
    <w:rsid w:val="7C9832E5"/>
    <w:rsid w:val="7CBC3C46"/>
    <w:rsid w:val="7D027BEA"/>
    <w:rsid w:val="7D2F4E8F"/>
    <w:rsid w:val="7D5B2135"/>
    <w:rsid w:val="7D7A3790"/>
    <w:rsid w:val="7D7E5EC1"/>
    <w:rsid w:val="7DA66CC3"/>
    <w:rsid w:val="7DB0236B"/>
    <w:rsid w:val="7DB3215D"/>
    <w:rsid w:val="7DDF7215"/>
    <w:rsid w:val="7E2A7DC1"/>
    <w:rsid w:val="7EAE28A5"/>
    <w:rsid w:val="7EC65EC0"/>
    <w:rsid w:val="7EF5102E"/>
    <w:rsid w:val="7F031625"/>
    <w:rsid w:val="7F5C6839"/>
    <w:rsid w:val="7F7717B4"/>
    <w:rsid w:val="7F8D69DE"/>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宋体" w:cs="Times New Roman"/>
      <w:kern w:val="2"/>
      <w:sz w:val="21"/>
      <w:szCs w:val="24"/>
      <w:lang w:val="en-US" w:eastAsia="zh-CN" w:bidi="ar-SA"/>
    </w:rPr>
  </w:style>
  <w:style w:type="character" w:default="1" w:styleId="13">
    <w:name w:val="Default Paragraph Font"/>
    <w:autoRedefine/>
    <w:semiHidden/>
    <w:unhideWhenUsed/>
    <w:qFormat/>
    <w:uiPriority w:val="1"/>
  </w:style>
  <w:style w:type="table" w:default="1" w:styleId="11">
    <w:name w:val="Normal Table"/>
    <w:autoRedefine/>
    <w:semiHidden/>
    <w:unhideWhenUsed/>
    <w:qFormat/>
    <w:uiPriority w:val="99"/>
    <w:tblPr>
      <w:tblCellMar>
        <w:top w:w="0" w:type="dxa"/>
        <w:left w:w="108" w:type="dxa"/>
        <w:bottom w:w="0" w:type="dxa"/>
        <w:right w:w="108" w:type="dxa"/>
      </w:tblCellMar>
    </w:tblPr>
  </w:style>
  <w:style w:type="paragraph" w:styleId="2">
    <w:name w:val="List Paragraph"/>
    <w:basedOn w:val="1"/>
    <w:autoRedefine/>
    <w:qFormat/>
    <w:uiPriority w:val="34"/>
    <w:pPr>
      <w:ind w:firstLine="420" w:firstLineChars="200"/>
    </w:pPr>
  </w:style>
  <w:style w:type="paragraph" w:styleId="3">
    <w:name w:val="Normal Indent"/>
    <w:basedOn w:val="1"/>
    <w:next w:val="1"/>
    <w:autoRedefine/>
    <w:qFormat/>
    <w:uiPriority w:val="0"/>
    <w:pPr>
      <w:ind w:firstLine="420" w:firstLineChars="200"/>
    </w:pPr>
    <w:rPr>
      <w:szCs w:val="21"/>
    </w:rPr>
  </w:style>
  <w:style w:type="paragraph" w:styleId="4">
    <w:name w:val="Body Text"/>
    <w:basedOn w:val="1"/>
    <w:autoRedefine/>
    <w:qFormat/>
    <w:uiPriority w:val="1"/>
    <w:rPr>
      <w:rFonts w:ascii="微软雅黑" w:hAnsi="微软雅黑" w:eastAsia="微软雅黑" w:cs="微软雅黑"/>
      <w:szCs w:val="21"/>
      <w:lang w:val="zh-CN" w:bidi="zh-CN"/>
    </w:rPr>
  </w:style>
  <w:style w:type="paragraph" w:styleId="5">
    <w:name w:val="Body Text Indent"/>
    <w:basedOn w:val="1"/>
    <w:autoRedefine/>
    <w:qFormat/>
    <w:uiPriority w:val="0"/>
    <w:pPr>
      <w:spacing w:after="120"/>
      <w:ind w:left="420" w:leftChars="200"/>
    </w:pPr>
  </w:style>
  <w:style w:type="paragraph" w:styleId="6">
    <w:name w:val="Plain Text"/>
    <w:basedOn w:val="1"/>
    <w:autoRedefine/>
    <w:unhideWhenUsed/>
    <w:qFormat/>
    <w:uiPriority w:val="0"/>
    <w:rPr>
      <w:rFonts w:ascii="宋体" w:hAnsi="Courier New"/>
      <w:szCs w:val="21"/>
    </w:rPr>
  </w:style>
  <w:style w:type="paragraph" w:styleId="7">
    <w:name w:val="Balloon Text"/>
    <w:basedOn w:val="1"/>
    <w:link w:val="17"/>
    <w:autoRedefine/>
    <w:qFormat/>
    <w:uiPriority w:val="0"/>
    <w:rPr>
      <w:sz w:val="18"/>
      <w:szCs w:val="18"/>
    </w:rPr>
  </w:style>
  <w:style w:type="paragraph" w:styleId="8">
    <w:name w:val="footer"/>
    <w:basedOn w:val="1"/>
    <w:autoRedefine/>
    <w:qFormat/>
    <w:uiPriority w:val="0"/>
    <w:pPr>
      <w:tabs>
        <w:tab w:val="center" w:pos="4153"/>
        <w:tab w:val="right" w:pos="8306"/>
      </w:tabs>
      <w:snapToGrid w:val="0"/>
      <w:jc w:val="left"/>
    </w:pPr>
    <w:rPr>
      <w:sz w:val="18"/>
      <w:szCs w:val="18"/>
    </w:rPr>
  </w:style>
  <w:style w:type="paragraph" w:styleId="9">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10">
    <w:name w:val="Body Text First Indent 2"/>
    <w:basedOn w:val="5"/>
    <w:autoRedefine/>
    <w:qFormat/>
    <w:uiPriority w:val="0"/>
    <w:pPr>
      <w:ind w:firstLine="420" w:firstLineChars="200"/>
    </w:pPr>
  </w:style>
  <w:style w:type="table" w:styleId="12">
    <w:name w:val="Table Grid"/>
    <w:basedOn w:val="1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Hyperlink"/>
    <w:basedOn w:val="13"/>
    <w:autoRedefine/>
    <w:qFormat/>
    <w:uiPriority w:val="0"/>
    <w:rPr>
      <w:color w:val="0000FF"/>
      <w:sz w:val="21"/>
      <w:szCs w:val="20"/>
      <w:u w:val="single"/>
    </w:rPr>
  </w:style>
  <w:style w:type="paragraph" w:customStyle="1" w:styleId="15">
    <w:name w:val="Table Paragraph"/>
    <w:basedOn w:val="1"/>
    <w:autoRedefine/>
    <w:qFormat/>
    <w:uiPriority w:val="1"/>
    <w:pPr>
      <w:ind w:left="108"/>
    </w:pPr>
    <w:rPr>
      <w:rFonts w:ascii="微软雅黑" w:hAnsi="微软雅黑" w:eastAsia="微软雅黑" w:cs="微软雅黑"/>
      <w:lang w:val="zh-CN" w:bidi="zh-CN"/>
    </w:rPr>
  </w:style>
  <w:style w:type="character" w:customStyle="1" w:styleId="16">
    <w:name w:val="NormalCharacter"/>
    <w:autoRedefine/>
    <w:qFormat/>
    <w:uiPriority w:val="0"/>
    <w:rPr>
      <w:rFonts w:ascii="Times New Roman" w:hAnsi="Times New Roman" w:eastAsia="宋体" w:cs="Times New Roman"/>
      <w:kern w:val="2"/>
      <w:sz w:val="21"/>
      <w:lang w:val="en-US" w:eastAsia="zh-CN" w:bidi="ar-SA"/>
    </w:rPr>
  </w:style>
  <w:style w:type="character" w:customStyle="1" w:styleId="17">
    <w:name w:val="批注框文本 Char"/>
    <w:basedOn w:val="13"/>
    <w:link w:val="7"/>
    <w:autoRedefine/>
    <w:qFormat/>
    <w:uiPriority w:val="0"/>
    <w:rPr>
      <w:rFonts w:ascii="Calibri" w:hAnsi="Calibri"/>
      <w:kern w:val="2"/>
      <w:sz w:val="18"/>
      <w:szCs w:val="18"/>
    </w:rPr>
  </w:style>
  <w:style w:type="character" w:customStyle="1" w:styleId="18">
    <w:name w:val="无"/>
    <w:basedOn w:val="13"/>
    <w:autoRedefine/>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7" Type="http://schemas.openxmlformats.org/officeDocument/2006/relationships/fontTable" Target="fontTable.xml"/><Relationship Id="rId26" Type="http://schemas.openxmlformats.org/officeDocument/2006/relationships/numbering" Target="numbering.xml"/><Relationship Id="rId25" Type="http://schemas.openxmlformats.org/officeDocument/2006/relationships/image" Target="media/image20.jpe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13</Pages>
  <Words>6106</Words>
  <Characters>6187</Characters>
  <Lines>41</Lines>
  <Paragraphs>11</Paragraphs>
  <TotalTime>3</TotalTime>
  <ScaleCrop>false</ScaleCrop>
  <LinksUpToDate>false</LinksUpToDate>
  <CharactersWithSpaces>6439</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张家界郴州恩施&amp;盛和蕊蕊</cp:lastModifiedBy>
  <dcterms:modified xsi:type="dcterms:W3CDTF">2025-06-03T07:50:07Z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KSORubyTemplateID">
    <vt:lpwstr>6</vt:lpwstr>
  </property>
  <property fmtid="{D5CDD505-2E9C-101B-9397-08002B2CF9AE}" pid="4" name="ICV">
    <vt:lpwstr>91A3216142B4481997E8ED0A6E662A12_13</vt:lpwstr>
  </property>
  <property fmtid="{D5CDD505-2E9C-101B-9397-08002B2CF9AE}" pid="5" name="KSOTemplateDocerSaveRecord">
    <vt:lpwstr>eyJoZGlkIjoiMWZlYTFmNTMyYzNlNDFiMjQwNTRlOTkyNTM0NDg3MjgiLCJ1c2VySWQiOiIxNjkyNTc3NTQ5In0=</vt:lpwstr>
  </property>
</Properties>
</file>