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514E8D5E">
      <w:pPr>
        <w:pStyle w:val="5"/>
        <w:jc w:val="both"/>
        <w:rPr>
          <w:rFonts w:hint="eastAsia" w:ascii="宋体" w:hAnsi="宋体" w:cs="宋体"/>
          <w:kern w:val="0"/>
          <w:sz w:val="18"/>
          <w:szCs w:val="18"/>
          <w:lang w:eastAsia="zh-CN"/>
        </w:rPr>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pPr>
      <w:bookmarkStart w:id="0" w:name="_GoBack"/>
      <w:r>
        <w:rPr>
          <w:rFonts w:hint="eastAsia" w:ascii="宋体" w:hAnsi="宋体" w:cs="宋体"/>
          <w:kern w:val="0"/>
          <w:sz w:val="18"/>
          <w:szCs w:val="18"/>
          <w:lang w:eastAsia="zh-CN"/>
        </w:rPr>
        <w:drawing>
          <wp:anchor distT="0" distB="0" distL="114300" distR="114300" simplePos="0" relativeHeight="251661312" behindDoc="0" locked="0" layoutInCell="1" allowOverlap="1">
            <wp:simplePos x="0" y="0"/>
            <wp:positionH relativeFrom="column">
              <wp:posOffset>-209550</wp:posOffset>
            </wp:positionH>
            <wp:positionV relativeFrom="paragraph">
              <wp:posOffset>-347980</wp:posOffset>
            </wp:positionV>
            <wp:extent cx="7568565" cy="10679430"/>
            <wp:effectExtent l="0" t="0" r="13335" b="7620"/>
            <wp:wrapNone/>
            <wp:docPr id="1" name="图片 1" descr="762f90b4f8c71c8813c7ca19fa0d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62f90b4f8c71c8813c7ca19fa0d373"/>
                    <pic:cNvPicPr>
                      <a:picLocks noChangeAspect="1"/>
                    </pic:cNvPicPr>
                  </pic:nvPicPr>
                  <pic:blipFill>
                    <a:blip r:embed="rId7"/>
                    <a:stretch>
                      <a:fillRect/>
                    </a:stretch>
                  </pic:blipFill>
                  <pic:spPr>
                    <a:xfrm>
                      <a:off x="0" y="0"/>
                      <a:ext cx="7568565" cy="10679430"/>
                    </a:xfrm>
                    <a:prstGeom prst="rect">
                      <a:avLst/>
                    </a:prstGeom>
                  </pic:spPr>
                </pic:pic>
              </a:graphicData>
            </a:graphic>
          </wp:anchor>
        </w:drawing>
      </w:r>
      <w:bookmarkEnd w:id="0"/>
    </w:p>
    <w:p w14:paraId="27AD0BB5">
      <w:pPr>
        <w:pStyle w:val="5"/>
        <w:jc w:val="both"/>
        <w:rPr>
          <w:rFonts w:hint="eastAsia" w:ascii="宋体" w:hAnsi="宋体" w:cs="宋体"/>
          <w:kern w:val="0"/>
          <w:sz w:val="18"/>
          <w:szCs w:val="18"/>
          <w:lang w:eastAsia="zh-CN"/>
        </w:rPr>
        <w:sectPr>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kern w:val="0"/>
          <w:sz w:val="18"/>
          <w:szCs w:val="18"/>
          <w:lang w:eastAsia="zh-CN"/>
        </w:rPr>
        <w:drawing>
          <wp:anchor distT="0" distB="0" distL="114300" distR="114300" simplePos="0" relativeHeight="251659264" behindDoc="0" locked="0" layoutInCell="1" allowOverlap="1">
            <wp:simplePos x="0" y="0"/>
            <wp:positionH relativeFrom="column">
              <wp:posOffset>-204470</wp:posOffset>
            </wp:positionH>
            <wp:positionV relativeFrom="paragraph">
              <wp:posOffset>-381000</wp:posOffset>
            </wp:positionV>
            <wp:extent cx="7552690" cy="10712450"/>
            <wp:effectExtent l="0" t="0" r="10160" b="12700"/>
            <wp:wrapTopAndBottom/>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8"/>
                    <a:stretch>
                      <a:fillRect/>
                    </a:stretch>
                  </pic:blipFill>
                  <pic:spPr>
                    <a:xfrm>
                      <a:off x="0" y="0"/>
                      <a:ext cx="7552690" cy="10712450"/>
                    </a:xfrm>
                    <a:prstGeom prst="rect">
                      <a:avLst/>
                    </a:prstGeom>
                  </pic:spPr>
                </pic:pic>
              </a:graphicData>
            </a:graphic>
          </wp:anchor>
        </w:drawing>
      </w:r>
    </w:p>
    <w:p w14:paraId="4E08CC5E">
      <w:pPr>
        <w:tabs>
          <w:tab w:val="left" w:pos="8583"/>
        </w:tabs>
        <w:jc w:val="left"/>
        <w:rPr>
          <w:rFonts w:hint="eastAsia" w:eastAsia="宋体"/>
          <w:sz w:val="18"/>
          <w:szCs w:val="18"/>
          <w:lang w:eastAsia="zh-CN"/>
        </w:rPr>
      </w:pPr>
      <w:r>
        <w:rPr>
          <w:rFonts w:hint="eastAsia" w:ascii="宋体" w:hAnsi="宋体" w:cs="宋体"/>
          <w:kern w:val="0"/>
          <w:sz w:val="18"/>
          <w:szCs w:val="18"/>
          <w:lang w:eastAsia="zh-CN"/>
        </w:rPr>
        <w:drawing>
          <wp:anchor distT="0" distB="0" distL="114300" distR="114300" simplePos="0" relativeHeight="251660288" behindDoc="0" locked="0" layoutInCell="1" allowOverlap="1">
            <wp:simplePos x="0" y="0"/>
            <wp:positionH relativeFrom="column">
              <wp:posOffset>-111125</wp:posOffset>
            </wp:positionH>
            <wp:positionV relativeFrom="paragraph">
              <wp:posOffset>3905885</wp:posOffset>
            </wp:positionV>
            <wp:extent cx="7569200" cy="10741660"/>
            <wp:effectExtent l="0" t="0" r="12700" b="2540"/>
            <wp:wrapTopAndBottom/>
            <wp:docPr id="5" name="图片 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4"/>
                    <pic:cNvPicPr>
                      <a:picLocks noChangeAspect="1"/>
                    </pic:cNvPicPr>
                  </pic:nvPicPr>
                  <pic:blipFill>
                    <a:blip r:embed="rId9"/>
                    <a:stretch>
                      <a:fillRect/>
                    </a:stretch>
                  </pic:blipFill>
                  <pic:spPr>
                    <a:xfrm>
                      <a:off x="0" y="0"/>
                      <a:ext cx="7569200" cy="10741660"/>
                    </a:xfrm>
                    <a:prstGeom prst="rect">
                      <a:avLst/>
                    </a:prstGeom>
                  </pic:spPr>
                </pic:pic>
              </a:graphicData>
            </a:graphic>
          </wp:anchor>
        </w:drawing>
      </w: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0D9E39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62D1835C">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爱在湘西</w:t>
            </w:r>
            <w:r>
              <w:rPr>
                <w:rFonts w:hint="eastAsia" w:ascii="微软雅黑" w:hAnsi="微软雅黑" w:eastAsia="微软雅黑" w:cs="微软雅黑"/>
                <w:b/>
                <w:bCs/>
                <w:color w:val="00B050"/>
                <w:sz w:val="52"/>
                <w:szCs w:val="52"/>
              </w:rPr>
              <w:t>】</w:t>
            </w:r>
          </w:p>
        </w:tc>
      </w:tr>
      <w:tr w14:paraId="54EF85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3DC1A684">
            <w:pPr>
              <w:jc w:val="center"/>
              <w:rPr>
                <w:rFonts w:hint="default"/>
                <w:b/>
                <w:color w:val="FF0000"/>
                <w:sz w:val="28"/>
                <w:szCs w:val="28"/>
                <w:lang w:val="en-US"/>
              </w:rPr>
            </w:pPr>
            <w:r>
              <w:rPr>
                <w:rFonts w:hint="eastAsia" w:ascii="微软雅黑" w:hAnsi="微软雅黑" w:eastAsia="微软雅黑" w:cs="微软雅黑"/>
                <w:b/>
                <w:bCs/>
                <w:color w:val="00B050"/>
                <w:sz w:val="30"/>
                <w:szCs w:val="30"/>
                <w:lang w:val="en-US" w:eastAsia="zh-CN"/>
              </w:rPr>
              <w:t>张家界/芙蓉镇/凤凰古城/湘西苗寨/张家界天门山/天子山/袁家界/金鞭溪5日游</w:t>
            </w:r>
          </w:p>
        </w:tc>
      </w:tr>
      <w:tr w14:paraId="228AE2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E2292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78C5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34CCAE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580AF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1F4EB7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0EE29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228E2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color w:val="1C1B10"/>
                <w:kern w:val="0"/>
                <w:sz w:val="21"/>
                <w:szCs w:val="21"/>
                <w:lang w:val="en-US" w:eastAsia="zh-CN" w:bidi="ar-SA"/>
              </w:rPr>
              <w:t>全国各地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color w:val="1C1B10"/>
                <w:kern w:val="0"/>
                <w:sz w:val="21"/>
                <w:szCs w:val="21"/>
                <w:lang w:val="en-US" w:eastAsia="zh-CN" w:bidi="ar-SA"/>
              </w:rPr>
              <w:t>张家界</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BE1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8E095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6BDFD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85C0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张家界</w:t>
            </w:r>
          </w:p>
        </w:tc>
      </w:tr>
      <w:tr w14:paraId="5B3FF42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4923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E51B7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张家界国家森林公园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袁家界</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天子山</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19418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54C707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75A66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36A0A5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武陵源</w:t>
            </w:r>
          </w:p>
        </w:tc>
      </w:tr>
      <w:tr w14:paraId="16A2676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66D3F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43C8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张家界国家森林公园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黄石寨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金鞭溪</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凤凰古城</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9CC0D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BBDC4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3DB74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5CE0A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凤凰</w:t>
            </w:r>
          </w:p>
        </w:tc>
      </w:tr>
      <w:tr w14:paraId="4D3A14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1756B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1D9AC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湘西苗寨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芙蓉镇</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张家界</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69FBC3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71941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91E66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FBE1A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武陵源</w:t>
            </w:r>
          </w:p>
        </w:tc>
      </w:tr>
      <w:tr w14:paraId="1259F5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1C167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1FC1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土司府城</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天门山</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张家界</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F1480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1BEE7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04B60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35A0B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055953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BA5C9EC">
            <w:pPr>
              <w:spacing w:line="36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color w:val="000000" w:themeColor="text1"/>
                <w:sz w:val="21"/>
                <w:szCs w:val="21"/>
                <w14:textFill>
                  <w14:solidFill>
                    <w14:schemeClr w14:val="tx1"/>
                  </w14:solidFill>
                </w14:textFill>
              </w:rPr>
              <w:t>备注：行程安排在不减少景点情况下,导游在实际操作中根据情况可以灵活调整行程游览顺序</w:t>
            </w:r>
          </w:p>
        </w:tc>
      </w:tr>
      <w:tr w14:paraId="44A0E0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789C5AE">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张家界</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张家界</w:t>
            </w:r>
          </w:p>
        </w:tc>
      </w:tr>
      <w:tr w14:paraId="27F73D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FA06F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当日乘【航班待定】前往</w:t>
            </w:r>
            <w:r>
              <w:rPr>
                <w:rFonts w:hint="eastAsia" w:ascii="微软雅黑" w:hAnsi="微软雅黑" w:eastAsia="微软雅黑" w:cs="微软雅黑"/>
                <w:b/>
                <w:bCs/>
                <w:color w:val="FF0000"/>
                <w:kern w:val="2"/>
                <w:sz w:val="21"/>
                <w:szCs w:val="21"/>
                <w:vertAlign w:val="baseline"/>
                <w:lang w:val="en-US" w:eastAsia="zh-CN" w:bidi="ar"/>
              </w:rPr>
              <w:t>张家界</w:t>
            </w:r>
            <w:r>
              <w:rPr>
                <w:rFonts w:hint="eastAsia" w:ascii="微软雅黑" w:hAnsi="微软雅黑" w:eastAsia="微软雅黑" w:cs="微软雅黑"/>
                <w:color w:val="0C0C0C"/>
                <w:kern w:val="2"/>
                <w:sz w:val="21"/>
                <w:szCs w:val="21"/>
                <w:vertAlign w:val="baseline"/>
                <w:lang w:val="en-US" w:eastAsia="zh-CN" w:bidi="ar"/>
              </w:rPr>
              <w:t>，后由旅行社接站工作人员统一安排车辆送至指定酒店入住。</w:t>
            </w:r>
          </w:p>
          <w:p w14:paraId="605057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lang w:eastAsia="zh-CN"/>
              </w:rPr>
            </w:pPr>
            <w:r>
              <w:rPr>
                <w:rFonts w:hint="eastAsia" w:ascii="微软雅黑" w:hAnsi="微软雅黑" w:eastAsia="微软雅黑" w:cs="微软雅黑"/>
                <w:color w:val="0C0C0C"/>
                <w:kern w:val="2"/>
                <w:sz w:val="21"/>
                <w:szCs w:val="21"/>
                <w:vertAlign w:val="baseline"/>
                <w:lang w:val="en-US" w:eastAsia="zh-CN" w:bidi="ar"/>
              </w:rPr>
              <w:t>今日无行程安排，任意时间抵达皆可</w:t>
            </w:r>
            <w:r>
              <w:rPr>
                <w:rFonts w:hint="eastAsia" w:ascii="微软雅黑" w:hAnsi="微软雅黑" w:eastAsia="微软雅黑" w:cs="微软雅黑"/>
                <w:b/>
                <w:bCs/>
                <w:color w:val="FF0000"/>
                <w:kern w:val="2"/>
                <w:sz w:val="21"/>
                <w:szCs w:val="21"/>
                <w:vertAlign w:val="baseline"/>
                <w:lang w:val="en-US" w:eastAsia="zh-CN" w:bidi="ar"/>
              </w:rPr>
              <w:t>（赠送 24 小时 VIP 接站服务）</w:t>
            </w:r>
            <w:r>
              <w:rPr>
                <w:rFonts w:hint="eastAsia" w:ascii="微软雅黑" w:hAnsi="微软雅黑" w:eastAsia="微软雅黑" w:cs="微软雅黑"/>
                <w:color w:val="000000" w:themeColor="text1"/>
                <w:kern w:val="2"/>
                <w:sz w:val="21"/>
                <w:szCs w:val="21"/>
                <w:vertAlign w:val="baseline"/>
                <w:lang w:val="en-US" w:eastAsia="zh-CN" w:bidi="ar"/>
                <w14:textFill>
                  <w14:solidFill>
                    <w14:schemeClr w14:val="tx1"/>
                  </w14:solidFill>
                </w14:textFill>
              </w:rPr>
              <w:t>，</w:t>
            </w:r>
            <w:r>
              <w:rPr>
                <w:rFonts w:hint="eastAsia" w:ascii="微软雅黑" w:hAnsi="微软雅黑" w:eastAsia="微软雅黑" w:cs="微软雅黑"/>
                <w:color w:val="0C0C0C"/>
                <w:kern w:val="2"/>
                <w:sz w:val="21"/>
                <w:szCs w:val="21"/>
                <w:vertAlign w:val="baseline"/>
                <w:lang w:val="en-US" w:eastAsia="zh-CN" w:bidi="ar"/>
              </w:rPr>
              <w:t>如您抵达时间较早，可自行前往张家界市中区游览大庸古城和步行街，逛一逛灯火阑珊的南门口美食街，尝一尝琳琅满目的各色小吃，也可在房间养精蓄锐，为后续的行程做准备。</w:t>
            </w:r>
          </w:p>
        </w:tc>
      </w:tr>
      <w:tr w14:paraId="264B3A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120A6EE">
            <w:pPr>
              <w:keepNext w:val="0"/>
              <w:keepLines w:val="0"/>
              <w:pageBreakBefore w:val="0"/>
              <w:widowControl w:val="0"/>
              <w:tabs>
                <w:tab w:val="left" w:pos="9240"/>
              </w:tabs>
              <w:kinsoku/>
              <w:wordWrap/>
              <w:overflowPunct/>
              <w:topLinePunct w:val="0"/>
              <w:autoSpaceDE/>
              <w:autoSpaceDN/>
              <w:bidi w:val="0"/>
              <w:adjustRightInd/>
              <w:snapToGrid/>
              <w:spacing w:before="67" w:line="300" w:lineRule="exact"/>
              <w:ind w:right="0"/>
              <w:jc w:val="left"/>
              <w:textAlignment w:val="auto"/>
              <w:rPr>
                <w:rFonts w:hint="eastAsia" w:ascii="微软雅黑" w:hAnsi="微软雅黑" w:eastAsia="微软雅黑" w:cs="微软雅黑"/>
                <w:b/>
                <w:bCs w:val="0"/>
                <w:color w:val="00B0F0"/>
                <w:sz w:val="18"/>
                <w:szCs w:val="18"/>
                <w:lang w:val="en-US" w:eastAsia="zh-CN"/>
              </w:rPr>
            </w:pPr>
            <w:r>
              <w:rPr>
                <w:rFonts w:hint="eastAsia" w:ascii="微软雅黑" w:hAnsi="微软雅黑" w:eastAsia="微软雅黑" w:cs="微软雅黑"/>
                <w:b/>
                <w:bCs w:val="0"/>
                <w:color w:val="00B0F0"/>
                <w:sz w:val="18"/>
                <w:szCs w:val="18"/>
                <w:lang w:val="en-US" w:eastAsia="zh-CN"/>
              </w:rPr>
              <w:t>【温馨提示】：</w:t>
            </w:r>
          </w:p>
          <w:p w14:paraId="68A7E6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1、接站人员会在您出发的前一天晚上18点左右以短信或电话形式通知出行相关事宜，请保持手机通畅。</w:t>
            </w:r>
          </w:p>
          <w:p w14:paraId="06C6593E">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2、散拼有一定的特殊性，接站当天无统一行程安排，我社专职导游于行程第二天早上开始工作，导游会提前与客人短信或 电话联系，落实第二天行程叫早时间及注意事项。</w:t>
            </w:r>
          </w:p>
          <w:p w14:paraId="304CE037">
            <w:pPr>
              <w:keepNext w:val="0"/>
              <w:keepLines w:val="0"/>
              <w:pageBreakBefore w:val="0"/>
              <w:widowControl w:val="0"/>
              <w:tabs>
                <w:tab w:val="left" w:pos="9240"/>
              </w:tabs>
              <w:kinsoku/>
              <w:wordWrap/>
              <w:overflowPunct/>
              <w:topLinePunct w:val="0"/>
              <w:autoSpaceDE/>
              <w:autoSpaceDN/>
              <w:bidi w:val="0"/>
              <w:adjustRightInd/>
              <w:snapToGrid/>
              <w:spacing w:line="300" w:lineRule="exact"/>
              <w:ind w:right="0"/>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b/>
                <w:bCs w:val="0"/>
                <w:color w:val="00B0F0"/>
                <w:kern w:val="2"/>
                <w:sz w:val="18"/>
                <w:szCs w:val="18"/>
                <w:vertAlign w:val="baseline"/>
                <w:lang w:val="en-US" w:eastAsia="zh-CN" w:bidi="ar"/>
              </w:rPr>
              <w:t>3、首日抵达，请勿食用过多辣菜或火锅，以防肠胃不适，影响后续行程，自由活动期间注意自身及财产安全。</w:t>
            </w:r>
          </w:p>
        </w:tc>
      </w:tr>
      <w:tr w14:paraId="317090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EFBE5CC">
            <w:pPr>
              <w:spacing w:line="240" w:lineRule="auto"/>
              <w:rPr>
                <w:rStyle w:val="17"/>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第二天 张家界国家森林公园→袁家界→天子山</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rPr>
              <w:t>中</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武陵源</w:t>
            </w:r>
          </w:p>
        </w:tc>
      </w:tr>
      <w:tr w14:paraId="200052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33"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55A175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早餐后车赴武张家界家国家森林公园，游览</w:t>
            </w:r>
            <w:r>
              <w:rPr>
                <w:rFonts w:hint="eastAsia" w:ascii="微软雅黑" w:hAnsi="微软雅黑" w:eastAsia="微软雅黑" w:cs="微软雅黑"/>
                <w:b/>
                <w:bCs/>
                <w:color w:val="FF0000"/>
                <w:kern w:val="2"/>
                <w:sz w:val="21"/>
                <w:szCs w:val="21"/>
                <w:vertAlign w:val="baseline"/>
                <w:lang w:val="en-US" w:eastAsia="zh-CN" w:bidi="ar"/>
              </w:rPr>
              <w:t>【袁家界景区】</w:t>
            </w:r>
            <w:r>
              <w:rPr>
                <w:rFonts w:hint="eastAsia" w:ascii="微软雅黑" w:hAnsi="微软雅黑" w:eastAsia="微软雅黑" w:cs="微软雅黑"/>
                <w:color w:val="0C0C0C"/>
                <w:kern w:val="2"/>
                <w:sz w:val="21"/>
                <w:szCs w:val="21"/>
                <w:vertAlign w:val="baseline"/>
                <w:lang w:val="en-US" w:eastAsia="zh-CN" w:bidi="ar"/>
              </w:rPr>
              <w:t>探寻《阿凡达》电影中的群山漂浮、星罗棋布的玄幻莫测世界，哈利路亚山 ”即“ 南天 一柱”(又名乾坤柱),参观云雾飘绕，峰峦叠嶂继往气 势磅礴的迷魂台、天下第一 桥等空中绝景；远眺张家界北30° 地理新发现杨家界：看峰墙之绝，峰丛之秀，峰林之奇等。天子山位于武陵源风景名胜区内 ，海拔  1262.5 米，是湖南省 最高峰之一。它以其独特的岩 石峰林和陡峭的悬崖 而闻名于世。这里有数不尽的奇峰怪石，形态各异，让人仿佛置身于仙境之中。除了自然风光，天子山还有丰富的文化底蕴。这里曾是古代僧侣修行的圣地，留下了许多古老的寺庙和佛教文化遗迹。其中最著名的就是天子阁，它建在悬崖峭壁之上，给人一种令人惊叹的感觉。总之，张家界天子山以其壮丽景色和独 特魅力吸引着无数游客前来观赏。如果你喜欢自然风 光和登山徒步，天子山绝对是一个值得一去的地方。</w:t>
            </w:r>
          </w:p>
          <w:p w14:paraId="40CEFAA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ascii="微软雅黑" w:hAnsi="微软雅黑" w:eastAsia="微软雅黑" w:cs="微软雅黑"/>
                <w:color w:val="0C0C0C"/>
                <w:kern w:val="2"/>
                <w:sz w:val="21"/>
                <w:szCs w:val="21"/>
                <w:vertAlign w:val="baseline"/>
                <w:lang w:val="en-US" w:eastAsia="zh-CN" w:bidi="ar"/>
              </w:rPr>
              <w:t>晚上可自费参看冯小刚导游的魅力湘西。刘欢任音乐总监的大型民俗风情演出一 一</w:t>
            </w:r>
            <w:r>
              <w:rPr>
                <w:rFonts w:hint="eastAsia" w:ascii="微软雅黑" w:hAnsi="微软雅黑" w:eastAsia="微软雅黑" w:cs="微软雅黑"/>
                <w:b/>
                <w:bCs/>
                <w:color w:val="FF0000"/>
                <w:kern w:val="2"/>
                <w:sz w:val="21"/>
                <w:szCs w:val="21"/>
                <w:vertAlign w:val="baseline"/>
                <w:lang w:val="en-US" w:eastAsia="zh-CN" w:bidi="ar"/>
              </w:rPr>
              <w:t>【魅力湘西晚会】</w:t>
            </w:r>
            <w:r>
              <w:rPr>
                <w:rFonts w:hint="eastAsia" w:ascii="微软雅黑" w:hAnsi="微软雅黑" w:eastAsia="微软雅黑" w:cs="微软雅黑"/>
                <w:color w:val="0C0C0C"/>
                <w:kern w:val="2"/>
                <w:sz w:val="21"/>
                <w:szCs w:val="21"/>
                <w:vertAlign w:val="baseline"/>
                <w:lang w:val="en-US" w:eastAsia="zh-CN" w:bidi="ar"/>
              </w:rPr>
              <w:t xml:space="preserve"> ，魅力湘西大剧院是国家文化产业示范基地、中国文化品牌30强、中国旅游演艺票房十强 ，连续三年荣登央视春晚 ，多次代表中国艺术全世界巡回演出，受到至尊礼遇引起国际轰动，让世界重新认识艺术中国、文化中国、魅力中国,见证了民族的、才是世界的!</w:t>
            </w:r>
          </w:p>
        </w:tc>
      </w:tr>
      <w:tr w14:paraId="7A0A1A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9B50CAD">
            <w:p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张家界国家森林公园→黄石寨→金鞭溪→凤凰古城</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凤凰</w:t>
            </w:r>
          </w:p>
        </w:tc>
      </w:tr>
      <w:tr w14:paraId="100EDA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6C6DBDD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早餐后，BUS 赴中国第一个国家森林公园</w:t>
            </w:r>
            <w:r>
              <w:rPr>
                <w:rFonts w:hint="eastAsia" w:ascii="微软雅黑" w:hAnsi="微软雅黑" w:eastAsia="微软雅黑" w:cs="微软雅黑"/>
                <w:b/>
                <w:bCs/>
                <w:color w:val="FF0000"/>
                <w:kern w:val="2"/>
                <w:sz w:val="21"/>
                <w:szCs w:val="21"/>
                <w:vertAlign w:val="baseline"/>
                <w:lang w:val="en-US" w:eastAsia="zh-CN" w:bidi="ar"/>
              </w:rPr>
              <w:t>【张家界国家森林公园】</w:t>
            </w:r>
            <w:r>
              <w:rPr>
                <w:rFonts w:hint="eastAsia" w:ascii="微软雅黑" w:hAnsi="微软雅黑" w:eastAsia="微软雅黑" w:cs="微软雅黑"/>
                <w:color w:val="0C0C0C"/>
                <w:kern w:val="2"/>
                <w:sz w:val="21"/>
                <w:szCs w:val="21"/>
                <w:vertAlign w:val="baseline"/>
                <w:lang w:val="en-US" w:eastAsia="zh-CN" w:bidi="ar"/>
              </w:rPr>
              <w:t>，开启一日深度有氧之旅前往</w:t>
            </w:r>
            <w:r>
              <w:rPr>
                <w:rFonts w:hint="eastAsia" w:ascii="微软雅黑" w:hAnsi="微软雅黑" w:eastAsia="微软雅黑" w:cs="微软雅黑"/>
                <w:b/>
                <w:bCs/>
                <w:color w:val="FF0000"/>
                <w:kern w:val="2"/>
                <w:sz w:val="21"/>
                <w:szCs w:val="21"/>
                <w:vertAlign w:val="baseline"/>
                <w:lang w:val="en-US" w:eastAsia="zh-CN" w:bidi="ar"/>
              </w:rPr>
              <w:t>【黄石寨】</w:t>
            </w:r>
            <w:r>
              <w:rPr>
                <w:rFonts w:hint="eastAsia" w:ascii="微软雅黑" w:hAnsi="微软雅黑" w:eastAsia="微软雅黑" w:cs="微软雅黑"/>
                <w:color w:val="0C0C0C"/>
                <w:kern w:val="2"/>
                <w:sz w:val="21"/>
                <w:szCs w:val="21"/>
                <w:vertAlign w:val="baseline"/>
                <w:lang w:val="en-US" w:eastAsia="zh-CN" w:bidi="ar"/>
              </w:rPr>
              <w:t>，黄石寨是武陵源风景名胜区5条精品游览线之一；相传汉朝留候张良看破红尘 、辞官不做，追随赤松子， 隐匿江湖 云游张家界，被官兵围困，后得师父黄石公搭救而得名黄石寨，是张家界美景最为集中</w:t>
            </w:r>
          </w:p>
          <w:p w14:paraId="19035C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的地方，也是张家界最大的凌空观景台，登上观景台 ，清风拂袖，云雾缠身，如临仙境，其下是万丈深渊的幽谷，峰峦叠翠，林木参天白云围绕，活象一 幅气势蓬勃的山水画。后前往金鞭溪，漫步</w:t>
            </w:r>
            <w:r>
              <w:rPr>
                <w:rFonts w:hint="eastAsia" w:ascii="微软雅黑" w:hAnsi="微软雅黑" w:eastAsia="微软雅黑" w:cs="微软雅黑"/>
                <w:b/>
                <w:bCs/>
                <w:color w:val="FF0000"/>
                <w:kern w:val="2"/>
                <w:sz w:val="21"/>
                <w:szCs w:val="21"/>
                <w:vertAlign w:val="baseline"/>
                <w:lang w:val="en-US" w:eastAsia="zh-CN" w:bidi="ar"/>
              </w:rPr>
              <w:t>【金鞭溪风景区精华段】</w:t>
            </w:r>
            <w:r>
              <w:rPr>
                <w:rFonts w:hint="eastAsia" w:ascii="微软雅黑" w:hAnsi="微软雅黑" w:eastAsia="微软雅黑" w:cs="微软雅黑"/>
                <w:color w:val="0C0C0C"/>
                <w:kern w:val="2"/>
                <w:sz w:val="21"/>
                <w:szCs w:val="21"/>
                <w:vertAlign w:val="baseline"/>
                <w:lang w:val="en-US" w:eastAsia="zh-CN" w:bidi="ar"/>
              </w:rPr>
              <w:t>:杉林幽静，穿行在峰峦幽谷云间，溪水明净，人沿清溪行，胜似画中游，这是一条观赏性与自娱性结合的旅游线路，十里长溪，山回路转，一步一景，十步一重天，小溪潺潺的流经你的脚下，似琵琶，似古筝， 时而丁冬悦耳， 时而涓涓小吟。后赴神秘湘西深处沈从文笔下的边城——</w:t>
            </w:r>
            <w:r>
              <w:rPr>
                <w:rFonts w:hint="eastAsia" w:ascii="微软雅黑" w:hAnsi="微软雅黑" w:eastAsia="微软雅黑" w:cs="微软雅黑"/>
                <w:b/>
                <w:bCs/>
                <w:color w:val="FF0000"/>
                <w:kern w:val="2"/>
                <w:sz w:val="21"/>
                <w:szCs w:val="21"/>
                <w:vertAlign w:val="baseline"/>
                <w:lang w:val="en-US" w:eastAsia="zh-CN" w:bidi="ar"/>
              </w:rPr>
              <w:t>【凤凰古城】</w:t>
            </w:r>
            <w:r>
              <w:rPr>
                <w:rFonts w:hint="eastAsia" w:ascii="微软雅黑" w:hAnsi="微软雅黑" w:eastAsia="微软雅黑" w:cs="微软雅黑"/>
                <w:color w:val="0C0C0C"/>
                <w:kern w:val="2"/>
                <w:sz w:val="21"/>
                <w:szCs w:val="21"/>
                <w:vertAlign w:val="baseline"/>
                <w:lang w:val="en-US" w:eastAsia="zh-CN" w:bidi="ar"/>
              </w:rPr>
              <w:t>这里被誉为远去的家园，梦中的故乡，邂逅边城的灯火阑珊品味独特的梦里苗疆。游览被新西兰著名作家路易艾黎称赞为中国最美丽的小城- -</w:t>
            </w:r>
            <w:r>
              <w:rPr>
                <w:rFonts w:hint="eastAsia" w:ascii="微软雅黑" w:hAnsi="微软雅黑" w:eastAsia="微软雅黑" w:cs="微软雅黑"/>
                <w:b/>
                <w:bCs/>
                <w:color w:val="FF0000"/>
                <w:kern w:val="2"/>
                <w:sz w:val="21"/>
                <w:szCs w:val="21"/>
                <w:vertAlign w:val="baseline"/>
                <w:lang w:val="en-US" w:eastAsia="zh-CN" w:bidi="ar"/>
              </w:rPr>
              <w:t>【凤凰古城】</w:t>
            </w:r>
            <w:r>
              <w:rPr>
                <w:rFonts w:hint="eastAsia" w:ascii="微软雅黑" w:hAnsi="微软雅黑" w:eastAsia="微软雅黑" w:cs="微软雅黑"/>
                <w:color w:val="0C0C0C"/>
                <w:kern w:val="2"/>
                <w:sz w:val="21"/>
                <w:szCs w:val="21"/>
                <w:vertAlign w:val="baseline"/>
                <w:lang w:val="en-US" w:eastAsia="zh-CN" w:bidi="ar"/>
              </w:rPr>
              <w:t xml:space="preserve"> ,体验和感受凤凰古城的九大精华：一座青山抱古城 、一泓沱水绕城过 、一条红红石板街 、一道风雨古城墙 、一座雄伟古城楼 、一个美丽彩虹桥一排小桥吊脚楼 、一批闻名世界的人，一个国家级非遗文化遗产。</w:t>
            </w:r>
          </w:p>
          <w:p w14:paraId="3D23C0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温馨提示 ：</w:t>
            </w:r>
          </w:p>
          <w:p w14:paraId="455D1CBA">
            <w:pPr>
              <w:keepNext w:val="0"/>
              <w:keepLines w:val="0"/>
              <w:pageBreakBefore w:val="0"/>
              <w:widowControl w:val="0"/>
              <w:kinsoku/>
              <w:wordWrap/>
              <w:overflowPunct/>
              <w:topLinePunct w:val="0"/>
              <w:autoSpaceDE/>
              <w:autoSpaceDN/>
              <w:bidi w:val="0"/>
              <w:adjustRightInd/>
              <w:snapToGrid/>
              <w:spacing w:line="360" w:lineRule="exact"/>
              <w:ind w:left="0" w:leftChars="0" w:firstLine="118" w:firstLineChars="66"/>
              <w:textAlignment w:val="auto"/>
              <w:rPr>
                <w:rFonts w:hint="eastAsia" w:ascii="微软雅黑" w:hAnsi="微软雅黑" w:eastAsia="微软雅黑" w:cs="微软雅黑"/>
                <w:color w:val="0C0C0C"/>
                <w:kern w:val="2"/>
                <w:sz w:val="18"/>
                <w:szCs w:val="18"/>
                <w:vertAlign w:val="baseline"/>
                <w:lang w:val="en-US" w:eastAsia="zh-CN" w:bidi="ar"/>
              </w:rPr>
            </w:pPr>
            <w:r>
              <w:rPr>
                <w:rFonts w:hint="eastAsia" w:ascii="微软雅黑" w:hAnsi="微软雅黑" w:eastAsia="微软雅黑" w:cs="微软雅黑"/>
                <w:color w:val="0C0C0C"/>
                <w:kern w:val="2"/>
                <w:sz w:val="18"/>
                <w:szCs w:val="18"/>
                <w:vertAlign w:val="baseline"/>
                <w:lang w:val="en-US" w:eastAsia="zh-CN" w:bidi="ar"/>
              </w:rPr>
              <w:t xml:space="preserve">景区分时间段预约进入，此景点游览顺序将以我社预约时间前后调配为准，敬请配合！   </w:t>
            </w:r>
          </w:p>
          <w:p w14:paraId="1275D79B">
            <w:pPr>
              <w:keepNext w:val="0"/>
              <w:keepLines w:val="0"/>
              <w:pageBreakBefore w:val="0"/>
              <w:widowControl w:val="0"/>
              <w:kinsoku/>
              <w:wordWrap/>
              <w:overflowPunct/>
              <w:topLinePunct w:val="0"/>
              <w:autoSpaceDE/>
              <w:autoSpaceDN/>
              <w:bidi w:val="0"/>
              <w:adjustRightInd/>
              <w:snapToGrid/>
              <w:spacing w:line="360" w:lineRule="exact"/>
              <w:ind w:left="0" w:leftChars="0" w:firstLine="118" w:firstLineChars="66"/>
              <w:textAlignment w:val="auto"/>
              <w:rPr>
                <w:rFonts w:hint="eastAsia" w:ascii="微软雅黑" w:hAnsi="微软雅黑" w:eastAsia="微软雅黑" w:cs="微软雅黑"/>
                <w:color w:val="0C0C0C"/>
                <w:kern w:val="2"/>
                <w:sz w:val="18"/>
                <w:szCs w:val="18"/>
                <w:vertAlign w:val="baseline"/>
                <w:lang w:val="en-US" w:eastAsia="zh-CN" w:bidi="ar"/>
              </w:rPr>
            </w:pPr>
            <w:r>
              <w:rPr>
                <w:rFonts w:hint="eastAsia" w:ascii="微软雅黑" w:hAnsi="微软雅黑" w:eastAsia="微软雅黑" w:cs="微软雅黑"/>
                <w:color w:val="0C0C0C"/>
                <w:kern w:val="2"/>
                <w:sz w:val="18"/>
                <w:szCs w:val="18"/>
                <w:vertAlign w:val="baseline"/>
                <w:lang w:val="en-US" w:eastAsia="zh-CN" w:bidi="ar"/>
              </w:rPr>
              <w:t>2.张家界景区内野生猕猴众多，请看管好小孩，不要拿食物耍猴，不要带塑料袋，以免抓伤。</w:t>
            </w:r>
          </w:p>
          <w:p w14:paraId="16319F27">
            <w:pPr>
              <w:keepNext w:val="0"/>
              <w:keepLines w:val="0"/>
              <w:pageBreakBefore w:val="0"/>
              <w:widowControl w:val="0"/>
              <w:kinsoku/>
              <w:wordWrap/>
              <w:overflowPunct/>
              <w:topLinePunct w:val="0"/>
              <w:autoSpaceDE/>
              <w:autoSpaceDN/>
              <w:bidi w:val="0"/>
              <w:adjustRightInd/>
              <w:snapToGrid/>
              <w:spacing w:line="360" w:lineRule="exact"/>
              <w:ind w:left="0" w:leftChars="0" w:firstLine="118" w:firstLineChars="66"/>
              <w:textAlignment w:val="auto"/>
              <w:rPr>
                <w:rFonts w:hint="eastAsia" w:ascii="微软雅黑" w:hAnsi="微软雅黑" w:eastAsia="微软雅黑" w:cs="微软雅黑"/>
                <w:color w:val="0C0C0C"/>
                <w:kern w:val="2"/>
                <w:sz w:val="18"/>
                <w:szCs w:val="18"/>
                <w:vertAlign w:val="baseline"/>
                <w:lang w:val="en-US" w:eastAsia="zh-CN" w:bidi="ar"/>
              </w:rPr>
            </w:pPr>
            <w:r>
              <w:rPr>
                <w:rFonts w:hint="eastAsia" w:ascii="微软雅黑" w:hAnsi="微软雅黑" w:eastAsia="微软雅黑" w:cs="微软雅黑"/>
                <w:color w:val="0C0C0C"/>
                <w:kern w:val="2"/>
                <w:sz w:val="18"/>
                <w:szCs w:val="18"/>
                <w:vertAlign w:val="baseline"/>
                <w:lang w:val="en-US" w:eastAsia="zh-CN" w:bidi="ar"/>
              </w:rPr>
              <w:t>3 .为了减少旅客排队时间，此行程特别安排百龙电梯单程和天子山索道单程、黄石寨索道往返 （ 费用已含 ）；</w:t>
            </w:r>
          </w:p>
          <w:p w14:paraId="6B5D31A5">
            <w:pPr>
              <w:keepNext w:val="0"/>
              <w:keepLines w:val="0"/>
              <w:pageBreakBefore w:val="0"/>
              <w:widowControl w:val="0"/>
              <w:kinsoku/>
              <w:wordWrap/>
              <w:overflowPunct/>
              <w:topLinePunct w:val="0"/>
              <w:autoSpaceDE/>
              <w:autoSpaceDN/>
              <w:bidi w:val="0"/>
              <w:adjustRightInd/>
              <w:snapToGrid/>
              <w:spacing w:line="360" w:lineRule="exact"/>
              <w:ind w:left="0" w:leftChars="0" w:firstLine="118" w:firstLineChars="66"/>
              <w:textAlignment w:val="auto"/>
              <w:rPr>
                <w:rFonts w:hint="eastAsia" w:ascii="微软雅黑" w:hAnsi="微软雅黑" w:eastAsia="微软雅黑" w:cs="微软雅黑"/>
                <w:color w:val="0C0C0C"/>
                <w:kern w:val="2"/>
                <w:sz w:val="18"/>
                <w:szCs w:val="18"/>
                <w:vertAlign w:val="baseline"/>
                <w:lang w:val="en-US" w:eastAsia="zh-CN" w:bidi="ar"/>
              </w:rPr>
            </w:pPr>
            <w:r>
              <w:rPr>
                <w:rFonts w:hint="eastAsia" w:ascii="微软雅黑" w:hAnsi="微软雅黑" w:eastAsia="微软雅黑" w:cs="微软雅黑"/>
                <w:color w:val="0C0C0C"/>
                <w:kern w:val="2"/>
                <w:sz w:val="18"/>
                <w:szCs w:val="18"/>
                <w:vertAlign w:val="baseline"/>
                <w:lang w:val="en-US" w:eastAsia="zh-CN" w:bidi="ar"/>
              </w:rPr>
              <w:t>4.因山上用餐条件有限，物价较高，中餐请游客自理，请做好心理准备！</w:t>
            </w:r>
          </w:p>
          <w:p w14:paraId="7D7EDCDD">
            <w:pPr>
              <w:keepNext w:val="0"/>
              <w:keepLines w:val="0"/>
              <w:pageBreakBefore w:val="0"/>
              <w:widowControl w:val="0"/>
              <w:kinsoku/>
              <w:wordWrap/>
              <w:overflowPunct/>
              <w:topLinePunct w:val="0"/>
              <w:autoSpaceDE/>
              <w:autoSpaceDN/>
              <w:bidi w:val="0"/>
              <w:adjustRightInd/>
              <w:snapToGrid/>
              <w:spacing w:line="360" w:lineRule="exact"/>
              <w:ind w:left="0" w:leftChars="0" w:firstLine="118" w:firstLineChars="66"/>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18"/>
                <w:szCs w:val="18"/>
                <w:vertAlign w:val="baseline"/>
                <w:lang w:val="en-US" w:eastAsia="zh-CN" w:bidi="ar"/>
              </w:rPr>
              <w:t>5.凤凰古城2016年4月10日取消围城强制购票，客人可进古城参观，如遇政府临时性政策调整 , 强制征收凤凰古城九景门票，</w:t>
            </w:r>
            <w:r>
              <w:rPr>
                <w:rFonts w:hint="eastAsia" w:ascii="微软雅黑" w:hAnsi="微软雅黑" w:eastAsia="微软雅黑" w:cs="微软雅黑"/>
                <w:color w:val="0C0C0C"/>
                <w:kern w:val="2"/>
                <w:sz w:val="21"/>
                <w:szCs w:val="21"/>
                <w:vertAlign w:val="baseline"/>
                <w:lang w:val="en-US" w:eastAsia="zh-CN" w:bidi="ar"/>
              </w:rPr>
              <w:t>客人需补费用！</w:t>
            </w:r>
          </w:p>
          <w:p w14:paraId="0580E1B7">
            <w:pPr>
              <w:keepNext w:val="0"/>
              <w:keepLines w:val="0"/>
              <w:pageBreakBefore w:val="0"/>
              <w:widowControl w:val="0"/>
              <w:kinsoku/>
              <w:wordWrap/>
              <w:overflowPunct/>
              <w:topLinePunct w:val="0"/>
              <w:autoSpaceDE/>
              <w:autoSpaceDN/>
              <w:bidi w:val="0"/>
              <w:adjustRightInd/>
              <w:snapToGrid/>
              <w:spacing w:line="360" w:lineRule="exact"/>
              <w:ind w:left="0" w:leftChars="0" w:firstLine="138" w:firstLineChars="66"/>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6.凤凰因交通管制，旅游车辆有时只能在指定位置停车，需步行入住酒店。</w:t>
            </w:r>
          </w:p>
          <w:p w14:paraId="079FE9A4">
            <w:pPr>
              <w:keepNext w:val="0"/>
              <w:keepLines w:val="0"/>
              <w:pageBreakBefore w:val="0"/>
              <w:widowControl w:val="0"/>
              <w:kinsoku/>
              <w:wordWrap/>
              <w:overflowPunct/>
              <w:topLinePunct w:val="0"/>
              <w:autoSpaceDE/>
              <w:autoSpaceDN/>
              <w:bidi w:val="0"/>
              <w:adjustRightInd/>
              <w:snapToGrid/>
              <w:spacing w:line="360" w:lineRule="exact"/>
              <w:ind w:left="0" w:leftChars="0" w:firstLine="138" w:firstLineChars="66"/>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7.凤凰古城为敞开式商业老街，本地老百姓的姜糖银器蜡染店铺、外地文艺青年的特色商铺较多, 凤凰导游义务介绍，旅游者购物行为选择，旅行社不接受凤凰区域旅游者在小商铺购物方面   的投诉及退换货的要求，建议有购物需求的旅游者提前了解相关信息，尽量选择资质齐全的购 物商城或政府授牌的大型商铺， 如有购买请保留好小票及售后联系方式，日后如有售后需求以便联系。</w:t>
            </w:r>
          </w:p>
          <w:p w14:paraId="3F00F89E">
            <w:pPr>
              <w:keepNext w:val="0"/>
              <w:keepLines w:val="0"/>
              <w:pageBreakBefore w:val="0"/>
              <w:widowControl w:val="0"/>
              <w:kinsoku/>
              <w:wordWrap/>
              <w:overflowPunct/>
              <w:topLinePunct w:val="0"/>
              <w:autoSpaceDE/>
              <w:autoSpaceDN/>
              <w:bidi w:val="0"/>
              <w:adjustRightInd/>
              <w:snapToGrid/>
              <w:spacing w:line="360" w:lineRule="exact"/>
              <w:ind w:left="0" w:leftChars="0" w:firstLine="138" w:firstLineChars="66"/>
              <w:textAlignment w:val="auto"/>
              <w:rPr>
                <w:rFonts w:hint="eastAsia"/>
                <w:lang w:eastAsia="zh-CN"/>
              </w:rPr>
            </w:pPr>
            <w:r>
              <w:rPr>
                <w:rFonts w:hint="eastAsia" w:ascii="微软雅黑" w:hAnsi="微软雅黑" w:eastAsia="微软雅黑" w:cs="微软雅黑"/>
                <w:color w:val="0C0C0C"/>
                <w:kern w:val="2"/>
                <w:sz w:val="21"/>
                <w:szCs w:val="21"/>
                <w:vertAlign w:val="baseline"/>
                <w:lang w:val="en-US" w:eastAsia="zh-CN" w:bidi="ar"/>
              </w:rPr>
              <w:t>特别提示：凤凰古城/湘西苗寨为敞开式民用商业区，特色商品导游义务介绍，旅游者购物行为为自主选择，本公司不接受湘西苗寨旅游者购物方面的投诉。</w:t>
            </w:r>
          </w:p>
        </w:tc>
      </w:tr>
      <w:tr w14:paraId="38964A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7" w:hRule="atLeast"/>
        </w:trPr>
        <w:tc>
          <w:tcPr>
            <w:tcW w:w="11628" w:type="dxa"/>
            <w:gridSpan w:val="6"/>
            <w:tcBorders>
              <w:top w:val="single" w:color="auto" w:sz="4" w:space="0"/>
              <w:left w:val="single" w:color="auto" w:sz="4" w:space="0"/>
              <w:bottom w:val="single" w:color="auto" w:sz="4" w:space="0"/>
              <w:right w:val="single" w:color="auto" w:sz="4" w:space="0"/>
            </w:tcBorders>
          </w:tcPr>
          <w:p w14:paraId="7AD154F4">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【温馨提示】</w:t>
            </w:r>
          </w:p>
          <w:p w14:paraId="5231F025">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1、因天门山景区是最火爆的旅游景区，景区为了分流人群，分为 A、B、C 三条线路，三条线每天有售票额度限制，需预约门票。</w:t>
            </w:r>
          </w:p>
          <w:p w14:paraId="3E370904">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pPr>
            <w:r>
              <w:rPr>
                <w:rFonts w:hint="eastAsia" w:ascii="微软雅黑" w:hAnsi="微软雅黑" w:eastAsia="微软雅黑" w:cs="微软雅黑"/>
                <w:b/>
                <w:bCs w:val="0"/>
                <w:color w:val="00B0F0"/>
                <w:kern w:val="2"/>
                <w:sz w:val="18"/>
                <w:szCs w:val="18"/>
                <w:vertAlign w:val="baseline"/>
                <w:lang w:val="en-US" w:eastAsia="zh-CN" w:bidi="ar"/>
              </w:rPr>
              <w:t>2、最终以系统预约成功的线路为准.本旅行社不接受对天门山景区关于排队时间过长及预约安排产生的投诉。</w:t>
            </w:r>
          </w:p>
        </w:tc>
      </w:tr>
      <w:tr w14:paraId="55B458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F63E61E">
            <w:pPr>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第四天 湘西苗寨→芙蓉镇→张家界</w:t>
            </w:r>
            <w:r>
              <w:rPr>
                <w:rFonts w:hint="eastAsia" w:ascii="微软雅黑" w:hAnsi="微软雅黑" w:eastAsia="微软雅黑" w:cs="微软雅黑"/>
                <w:b/>
                <w:bCs/>
                <w:color w:val="FFFFFF"/>
                <w:sz w:val="28"/>
                <w:szCs w:val="28"/>
                <w:lang w:val="en-US" w:eastAsia="zh-CN"/>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张家界</w:t>
            </w:r>
          </w:p>
        </w:tc>
      </w:tr>
      <w:tr w14:paraId="2E9852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466" w:hRule="atLeast"/>
        </w:trPr>
        <w:tc>
          <w:tcPr>
            <w:tcW w:w="11628" w:type="dxa"/>
            <w:gridSpan w:val="6"/>
            <w:tcBorders>
              <w:top w:val="single" w:color="auto" w:sz="4" w:space="0"/>
              <w:left w:val="single" w:color="auto" w:sz="4" w:space="0"/>
              <w:bottom w:val="single" w:color="auto" w:sz="4" w:space="0"/>
              <w:right w:val="single" w:color="auto" w:sz="4" w:space="0"/>
            </w:tcBorders>
          </w:tcPr>
          <w:p w14:paraId="45D53D4F">
            <w:pPr>
              <w:pStyle w:val="19"/>
              <w:keepNext w:val="0"/>
              <w:keepLines w:val="0"/>
              <w:pageBreakBefore w:val="0"/>
              <w:widowControl w:val="0"/>
              <w:kinsoku/>
              <w:wordWrap/>
              <w:overflowPunct/>
              <w:topLinePunct w:val="0"/>
              <w:autoSpaceDE/>
              <w:autoSpaceDN/>
              <w:bidi w:val="0"/>
              <w:adjustRightInd/>
              <w:snapToGrid/>
              <w:spacing w:line="360" w:lineRule="exact"/>
              <w:ind w:right="221" w:firstLine="505"/>
              <w:textAlignment w:val="auto"/>
              <w:rPr>
                <w:rFonts w:hint="eastAsia"/>
                <w:spacing w:val="-4"/>
                <w:lang w:val="en-US" w:eastAsia="zh-CN"/>
              </w:rPr>
            </w:pPr>
            <w:r>
              <w:rPr>
                <w:rFonts w:hint="eastAsia" w:ascii="微软雅黑" w:hAnsi="微软雅黑" w:eastAsia="微软雅黑" w:cs="微软雅黑"/>
                <w:color w:val="0C0C0C"/>
                <w:kern w:val="2"/>
                <w:sz w:val="21"/>
                <w:szCs w:val="21"/>
                <w:vertAlign w:val="baseline"/>
                <w:lang w:val="en-US" w:eastAsia="zh-CN" w:bidi="ar"/>
              </w:rPr>
              <w:t>早起欣赏凤凰古城晨景 ，后乘车前往，墨戎鼓镇(“ 墨戎 ”为苗语音译，意为“ 有龙的地方 ”)是湖南 现存规模极大 、保存极为完好的一座露天苗族文化博物 馆 。“ 墨戎鼓镇 ”先后被评为“  中国苗族花鼓之乡 ”、“ 中国民间文化艺术之乡，中国传统村落  中国少数民族特色村寨 ， 国家3A级旅游景区”和“  中国美丽休闲乡村 ” 已成为张家界至凤凰古城这条中国黄金旅游线上的弘扬苗族文化的璀璨明珠!后前往千年古镇 ——</w:t>
            </w:r>
            <w:r>
              <w:rPr>
                <w:rFonts w:hint="eastAsia" w:ascii="微软雅黑" w:hAnsi="微软雅黑" w:eastAsia="微软雅黑" w:cs="微软雅黑"/>
                <w:b/>
                <w:bCs/>
                <w:color w:val="FF0000"/>
                <w:kern w:val="2"/>
                <w:sz w:val="21"/>
                <w:szCs w:val="21"/>
                <w:vertAlign w:val="baseline"/>
                <w:lang w:val="en-US" w:eastAsia="zh-CN" w:bidi="ar"/>
              </w:rPr>
              <w:t>【芙蓉镇】</w:t>
            </w:r>
            <w:r>
              <w:rPr>
                <w:rFonts w:hint="eastAsia" w:ascii="微软雅黑" w:hAnsi="微软雅黑" w:eastAsia="微软雅黑" w:cs="微软雅黑"/>
                <w:color w:val="0C0C0C"/>
                <w:kern w:val="2"/>
                <w:sz w:val="21"/>
                <w:szCs w:val="21"/>
                <w:vertAlign w:val="baseline"/>
                <w:lang w:val="en-US" w:eastAsia="zh-CN" w:bidi="ar"/>
              </w:rPr>
              <w:t xml:space="preserve"> (山水如画多情的酉水养育了世世代代的土家儿女，也造就了沿岸动人的风光，酉水画廊纳含着芙蓉镇的草木，山水 、人儿，一道道美丽彩虹是它编织的最美西兰卡普。这里得酉水舟楫之便，上通川渝下达洞庭，素有“ 楚蜀通津 ”之称 。因谢晋执导刘晓庆 、姜文主演 的电影《芙蓉镇》在此取景而出名，于是人们便把此地叫做芙蓉镇，时代变迁，历久弥新，更因其独特的原始人文，静谧山水成为新时代湖 南旅游新宠。芙蓉古镇大瀑布，酉水码头繁华依旧!</w:t>
            </w:r>
          </w:p>
        </w:tc>
      </w:tr>
      <w:tr w14:paraId="4DCFC0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2BFE023">
            <w:pPr>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土司府城</w:t>
            </w:r>
            <w:r>
              <w:rPr>
                <w:rFonts w:hint="eastAsia" w:ascii="微软雅黑" w:hAnsi="微软雅黑" w:eastAsia="微软雅黑" w:cs="微软雅黑"/>
                <w:b/>
                <w:bCs/>
                <w:color w:val="FFFFFF"/>
                <w:sz w:val="28"/>
                <w:szCs w:val="28"/>
              </w:rPr>
              <w:t>→天门山→</w:t>
            </w:r>
            <w:r>
              <w:rPr>
                <w:rFonts w:hint="eastAsia" w:ascii="微软雅黑" w:hAnsi="微软雅黑" w:eastAsia="微软雅黑" w:cs="微软雅黑"/>
                <w:b/>
                <w:bCs/>
                <w:color w:val="FFFFFF"/>
                <w:sz w:val="28"/>
                <w:szCs w:val="28"/>
                <w:lang w:val="en-US" w:eastAsia="zh-CN"/>
              </w:rPr>
              <w:t xml:space="preserve">张家界       </w:t>
            </w:r>
            <w:r>
              <w:rPr>
                <w:rFonts w:hint="eastAsia" w:ascii="宋体" w:hAnsi="宋体" w:cs="宋体"/>
                <w:b/>
                <w:bCs/>
                <w:color w:val="0C0C0C"/>
                <w:kern w:val="2"/>
                <w:sz w:val="24"/>
                <w:szCs w:val="24"/>
                <w:vertAlign w:val="baseline"/>
                <w:lang w:val="en-US" w:eastAsia="zh-CN" w:bidi="ar"/>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张家界</w:t>
            </w:r>
          </w:p>
        </w:tc>
      </w:tr>
      <w:tr w14:paraId="16F41A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42" w:hRule="atLeast"/>
        </w:trPr>
        <w:tc>
          <w:tcPr>
            <w:tcW w:w="11628" w:type="dxa"/>
            <w:gridSpan w:val="6"/>
            <w:tcBorders>
              <w:top w:val="single" w:color="auto" w:sz="4" w:space="0"/>
              <w:left w:val="single" w:color="auto" w:sz="4" w:space="0"/>
              <w:bottom w:val="single" w:color="auto" w:sz="4" w:space="0"/>
              <w:right w:val="single" w:color="auto" w:sz="4" w:space="0"/>
            </w:tcBorders>
          </w:tcPr>
          <w:p w14:paraId="7F6E79BC">
            <w:pPr>
              <w:pStyle w:val="5"/>
              <w:keepNext w:val="0"/>
              <w:keepLines w:val="0"/>
              <w:pageBreakBefore w:val="0"/>
              <w:widowControl w:val="0"/>
              <w:kinsoku/>
              <w:wordWrap/>
              <w:overflowPunct/>
              <w:topLinePunct w:val="0"/>
              <w:autoSpaceDE/>
              <w:autoSpaceDN/>
              <w:bidi w:val="0"/>
              <w:adjustRightInd/>
              <w:snapToGrid/>
              <w:spacing w:line="360" w:lineRule="exact"/>
              <w:ind w:left="0" w:firstLine="384" w:firstLineChars="200"/>
              <w:textAlignment w:val="auto"/>
              <w:rPr>
                <w:rFonts w:hint="eastAsia" w:ascii="微软雅黑" w:hAnsi="微软雅黑" w:eastAsia="微软雅黑" w:cs="微软雅黑"/>
                <w:spacing w:val="-8"/>
                <w:lang w:val="en-US" w:eastAsia="zh-CN"/>
              </w:rPr>
            </w:pPr>
            <w:r>
              <w:rPr>
                <w:rFonts w:hint="eastAsia" w:ascii="微软雅黑" w:hAnsi="微软雅黑" w:eastAsia="微软雅黑" w:cs="微软雅黑"/>
                <w:spacing w:val="-9"/>
                <w:lang w:eastAsia="zh-CN"/>
              </w:rPr>
              <w:t>早餐后</w:t>
            </w:r>
            <w:r>
              <w:rPr>
                <w:rFonts w:hint="eastAsia" w:ascii="微软雅黑" w:hAnsi="微软雅黑" w:eastAsia="微软雅黑" w:cs="微软雅黑"/>
                <w:spacing w:val="-9"/>
              </w:rPr>
              <w:t>游览</w:t>
            </w:r>
            <w:r>
              <w:rPr>
                <w:rFonts w:hint="eastAsia" w:ascii="微软雅黑" w:hAnsi="微软雅黑" w:eastAsia="微软雅黑" w:cs="微软雅黑"/>
                <w:b/>
                <w:bCs/>
                <w:color w:val="FF0000"/>
                <w:kern w:val="2"/>
                <w:sz w:val="21"/>
                <w:szCs w:val="21"/>
                <w:vertAlign w:val="baseline"/>
                <w:lang w:val="en-US" w:eastAsia="zh-CN" w:bidi="ar"/>
              </w:rPr>
              <w:t>【土司府城】</w:t>
            </w:r>
            <w:r>
              <w:rPr>
                <w:rFonts w:hint="eastAsia" w:ascii="微软雅黑" w:hAnsi="微软雅黑" w:eastAsia="微软雅黑" w:cs="微软雅黑"/>
                <w:spacing w:val="-9"/>
              </w:rPr>
              <w:t>——土司城（赠送景点，不去不退）千年王府土司城土家历史文物、民情风俗应有尽有，镇园之宝——世界吉尼斯之最【九重天】【千人毛古斯】。雕梁画栋、飞檐翘角的【土司城堡】、【摆手堂】，原汁原味的土家哭嫁，头饰服饰，蜡染、织锦、银匠，这一切都让您仿佛回到了远古。无数信男信女因缘前来迎请，为自己和家人祈求福报、消灾解难，素有“南方紫禁城”之称 。</w:t>
            </w:r>
            <w:r>
              <w:rPr>
                <w:rFonts w:hint="eastAsia" w:ascii="微软雅黑" w:hAnsi="微软雅黑" w:eastAsia="微软雅黑" w:cs="微软雅黑"/>
              </w:rPr>
              <w:t>然后游览世界高海拔天然穿山溶洞</w:t>
            </w:r>
            <w:r>
              <w:rPr>
                <w:rFonts w:hint="eastAsia" w:ascii="微软雅黑" w:hAnsi="微软雅黑" w:eastAsia="微软雅黑" w:cs="微软雅黑"/>
                <w:b/>
                <w:bCs/>
                <w:color w:val="FF0000"/>
                <w:kern w:val="2"/>
                <w:sz w:val="21"/>
                <w:szCs w:val="21"/>
                <w:vertAlign w:val="baseline"/>
                <w:lang w:val="en-US" w:eastAsia="zh-CN" w:bidi="ar"/>
              </w:rPr>
              <w:t>【天门洞】</w:t>
            </w:r>
            <w:r>
              <w:rPr>
                <w:rFonts w:hint="eastAsia" w:ascii="微软雅黑" w:hAnsi="微软雅黑" w:eastAsia="微软雅黑" w:cs="微软雅黑"/>
                <w:spacing w:val="-1"/>
              </w:rPr>
              <w:t>悬于</w:t>
            </w:r>
            <w:r>
              <w:rPr>
                <w:rFonts w:hint="eastAsia" w:ascii="微软雅黑" w:hAnsi="微软雅黑" w:eastAsia="微软雅黑" w:cs="微软雅黑"/>
                <w:spacing w:val="-9"/>
              </w:rPr>
              <w:t>海拔1300 余米的峭壁之上，高131.5 米，宽57 米，深60 米，终年吐云纳雾，</w:t>
            </w:r>
            <w:r>
              <w:rPr>
                <w:rFonts w:hint="eastAsia" w:ascii="微软雅黑" w:hAnsi="微软雅黑" w:eastAsia="微软雅黑" w:cs="微软雅黑"/>
                <w:spacing w:val="-3"/>
              </w:rPr>
              <w:t>震世撼俗。</w:t>
            </w:r>
            <w:r>
              <w:rPr>
                <w:rFonts w:hint="eastAsia" w:ascii="微软雅黑" w:hAnsi="微软雅黑" w:eastAsia="微软雅黑" w:cs="微软雅黑"/>
                <w:b/>
                <w:bCs/>
                <w:color w:val="FF0000"/>
                <w:kern w:val="2"/>
                <w:sz w:val="21"/>
                <w:szCs w:val="21"/>
                <w:vertAlign w:val="baseline"/>
                <w:lang w:val="en-US" w:eastAsia="zh-CN" w:bidi="ar"/>
              </w:rPr>
              <w:t>【天门山玻璃栈道】</w:t>
            </w:r>
            <w:r>
              <w:rPr>
                <w:rFonts w:hint="eastAsia" w:ascii="微软雅黑" w:hAnsi="微软雅黑" w:eastAsia="微软雅黑" w:cs="微软雅黑"/>
                <w:spacing w:val="-3"/>
              </w:rPr>
              <w:t>,是张家界天门山景区继悬于峭壁之上的鬼谷栈道、凭</w:t>
            </w:r>
            <w:r>
              <w:rPr>
                <w:rFonts w:hint="eastAsia" w:ascii="微软雅黑" w:hAnsi="微软雅黑" w:eastAsia="微软雅黑" w:cs="微软雅黑"/>
              </w:rPr>
              <w:t xml:space="preserve"> </w:t>
            </w:r>
            <w:r>
              <w:rPr>
                <w:rFonts w:hint="eastAsia" w:ascii="微软雅黑" w:hAnsi="微软雅黑" w:eastAsia="微软雅黑" w:cs="微软雅黑"/>
                <w:spacing w:val="-4"/>
              </w:rPr>
              <w:t>空伸出的玻璃眺望台，绝壁凌空 , 气势恢弘，令人头晕目眩 ，有东方“天空之路</w:t>
            </w:r>
            <w:r>
              <w:rPr>
                <w:rFonts w:hint="default" w:ascii="微软雅黑" w:hAnsi="微软雅黑" w:eastAsia="微软雅黑" w:cs="微软雅黑"/>
                <w:spacing w:val="-4"/>
                <w:lang w:val="en-US" w:eastAsia="zh-CN"/>
              </w:rPr>
              <w:t>’</w:t>
            </w:r>
            <w:r>
              <w:rPr>
                <w:rFonts w:hint="eastAsia" w:ascii="微软雅黑" w:hAnsi="微软雅黑" w:eastAsia="微软雅黑" w:cs="微软雅黑"/>
                <w:spacing w:val="-6"/>
              </w:rPr>
              <w:t>的美誉。(如遇恶劣天气影响，天门山景区考虑安全因</w:t>
            </w:r>
            <w:r>
              <w:rPr>
                <w:rFonts w:hint="eastAsia" w:ascii="微软雅黑" w:hAnsi="微软雅黑" w:eastAsia="微软雅黑" w:cs="微软雅黑"/>
                <w:spacing w:val="-7"/>
              </w:rPr>
              <w:t>素，部分景点会关闭，以</w:t>
            </w:r>
            <w:r>
              <w:rPr>
                <w:rFonts w:hint="eastAsia" w:ascii="微软雅黑" w:hAnsi="微软雅黑" w:eastAsia="微软雅黑" w:cs="微软雅黑"/>
                <w:spacing w:val="-3"/>
              </w:rPr>
              <w:t>景区实时公布为准，敬请报名时知须。)</w:t>
            </w:r>
            <w:r>
              <w:rPr>
                <w:rFonts w:hint="eastAsia" w:ascii="微软雅黑" w:hAnsi="微软雅黑" w:eastAsia="微软雅黑" w:cs="微软雅黑"/>
                <w:b/>
                <w:bCs/>
                <w:color w:val="FF0000"/>
                <w:kern w:val="2"/>
                <w:sz w:val="21"/>
                <w:szCs w:val="21"/>
                <w:vertAlign w:val="baseline"/>
                <w:lang w:val="en-US" w:eastAsia="zh-CN" w:bidi="ar"/>
              </w:rPr>
              <w:t>【天门山索道】</w:t>
            </w:r>
            <w:r>
              <w:rPr>
                <w:rFonts w:hint="eastAsia" w:ascii="微软雅黑" w:hAnsi="微软雅黑" w:eastAsia="微软雅黑" w:cs="微软雅黑"/>
                <w:spacing w:val="-3"/>
              </w:rPr>
              <w:t>通天大道之外 的上下山通道。</w:t>
            </w:r>
            <w:r>
              <w:rPr>
                <w:rFonts w:hint="eastAsia" w:ascii="微软雅黑" w:hAnsi="微软雅黑" w:eastAsia="微软雅黑" w:cs="微软雅黑"/>
                <w:spacing w:val="-7"/>
              </w:rPr>
              <w:t>它是世界最长高山观光客运索道</w:t>
            </w:r>
            <w:r>
              <w:rPr>
                <w:rFonts w:hint="eastAsia" w:ascii="微软雅黑" w:hAnsi="微软雅黑" w:eastAsia="微软雅黑" w:cs="微软雅黑"/>
                <w:spacing w:val="-7"/>
                <w:lang w:eastAsia="zh-CN"/>
              </w:rPr>
              <w:t>，</w:t>
            </w:r>
            <w:r>
              <w:rPr>
                <w:rFonts w:hint="eastAsia" w:ascii="微软雅黑" w:hAnsi="微软雅黑" w:eastAsia="微软雅黑" w:cs="微软雅黑"/>
                <w:spacing w:val="-7"/>
              </w:rPr>
              <w:t>全长7454 米，高差1277 米</w:t>
            </w:r>
            <w:r>
              <w:rPr>
                <w:rFonts w:hint="eastAsia" w:ascii="微软雅黑" w:hAnsi="微软雅黑" w:eastAsia="微软雅黑" w:cs="微软雅黑"/>
                <w:spacing w:val="-7"/>
                <w:lang w:eastAsia="zh-CN"/>
              </w:rPr>
              <w:t>，</w:t>
            </w:r>
            <w:r>
              <w:rPr>
                <w:rFonts w:hint="eastAsia" w:ascii="微软雅黑" w:hAnsi="微软雅黑" w:eastAsia="微软雅黑" w:cs="微软雅黑"/>
                <w:spacing w:val="-7"/>
              </w:rPr>
              <w:t>其中间站到上站</w:t>
            </w:r>
            <w:r>
              <w:rPr>
                <w:rFonts w:hint="eastAsia" w:ascii="微软雅黑" w:hAnsi="微软雅黑" w:eastAsia="微软雅黑" w:cs="微软雅黑"/>
                <w:spacing w:val="-8"/>
              </w:rPr>
              <w:t>之间的局部斜度高达37 度，世界罕见</w:t>
            </w:r>
            <w:r>
              <w:rPr>
                <w:rFonts w:hint="eastAsia" w:ascii="微软雅黑" w:hAnsi="微软雅黑" w:eastAsia="微软雅黑" w:cs="微软雅黑"/>
                <w:spacing w:val="-8"/>
                <w:lang w:eastAsia="zh-CN"/>
              </w:rPr>
              <w:t>。</w:t>
            </w:r>
          </w:p>
        </w:tc>
      </w:tr>
      <w:tr w14:paraId="5EE5B5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E404E8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9D1834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69A0AC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5D47CA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FF0000"/>
                <w:sz w:val="21"/>
                <w:szCs w:val="21"/>
                <w:lang w:val="en-US" w:eastAsia="zh-CN" w:bidi="zh-CN"/>
              </w:rPr>
            </w:pPr>
            <w:r>
              <w:rPr>
                <w:rFonts w:hint="eastAsia" w:ascii="微软雅黑" w:hAnsi="微软雅黑" w:eastAsia="微软雅黑" w:cs="微软雅黑"/>
              </w:rPr>
              <w:t>1、</w:t>
            </w:r>
            <w:r>
              <w:rPr>
                <w:rFonts w:hint="eastAsia" w:ascii="微软雅黑" w:hAnsi="微软雅黑" w:eastAsia="微软雅黑" w:cs="微软雅黑"/>
                <w:sz w:val="21"/>
                <w:szCs w:val="21"/>
              </w:rPr>
              <w:t>门票：</w:t>
            </w:r>
            <w:r>
              <w:rPr>
                <w:rFonts w:hint="eastAsia" w:ascii="微软雅黑" w:hAnsi="微软雅黑" w:eastAsia="微软雅黑" w:cs="微软雅黑"/>
                <w:spacing w:val="-4"/>
                <w:sz w:val="21"/>
                <w:szCs w:val="21"/>
              </w:rPr>
              <w:t>行程中所列景点在保证不减少景点的前提下游览顺序以导游安排为准。</w:t>
            </w:r>
            <w:r>
              <w:rPr>
                <w:rFonts w:hint="eastAsia" w:ascii="微软雅黑" w:hAnsi="微软雅黑" w:eastAsia="微软雅黑" w:cs="微软雅黑"/>
                <w:spacing w:val="8"/>
                <w:sz w:val="21"/>
                <w:szCs w:val="21"/>
              </w:rPr>
              <w:t xml:space="preserve"> </w:t>
            </w:r>
            <w:r>
              <w:rPr>
                <w:rFonts w:hint="eastAsia" w:ascii="微软雅黑" w:hAnsi="微软雅黑" w:eastAsia="微软雅黑" w:cs="微软雅黑"/>
                <w:spacing w:val="-7"/>
                <w:sz w:val="21"/>
                <w:szCs w:val="21"/>
              </w:rPr>
              <w:t>行程中景点首道大门票  ，无优免无退费。</w:t>
            </w:r>
          </w:p>
          <w:p w14:paraId="7AF11D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pacing w:val="-3"/>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酒店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spacing w:val="-5"/>
                <w:sz w:val="21"/>
                <w:szCs w:val="21"/>
              </w:rPr>
              <w:t>全程指定</w:t>
            </w:r>
            <w:r>
              <w:rPr>
                <w:rFonts w:hint="eastAsia" w:ascii="微软雅黑" w:hAnsi="微软雅黑" w:eastAsia="微软雅黑" w:cs="微软雅黑"/>
                <w:spacing w:val="-5"/>
                <w:sz w:val="21"/>
                <w:szCs w:val="21"/>
                <w:lang w:eastAsia="zh-CN"/>
              </w:rPr>
              <w:t>豪华型</w:t>
            </w:r>
            <w:r>
              <w:rPr>
                <w:rFonts w:hint="eastAsia" w:ascii="微软雅黑" w:hAnsi="微软雅黑" w:eastAsia="微软雅黑" w:cs="微软雅黑"/>
                <w:spacing w:val="-5"/>
                <w:sz w:val="21"/>
                <w:szCs w:val="21"/>
              </w:rPr>
              <w:t>酒店酒店标准双人间，如遇单男或</w:t>
            </w:r>
            <w:r>
              <w:rPr>
                <w:rFonts w:hint="eastAsia" w:ascii="微软雅黑" w:hAnsi="微软雅黑" w:eastAsia="微软雅黑" w:cs="微软雅黑"/>
                <w:spacing w:val="-6"/>
                <w:sz w:val="21"/>
                <w:szCs w:val="21"/>
              </w:rPr>
              <w:t>单女，尽量安排拼住、三人间</w:t>
            </w:r>
            <w:r>
              <w:rPr>
                <w:rFonts w:hint="eastAsia" w:ascii="微软雅黑" w:hAnsi="微软雅黑" w:eastAsia="微软雅黑" w:cs="微软雅黑"/>
                <w:spacing w:val="-3"/>
                <w:sz w:val="21"/>
                <w:szCs w:val="21"/>
              </w:rPr>
              <w:t>或双标间加床，安排不了请自补房差。</w:t>
            </w:r>
          </w:p>
          <w:p w14:paraId="5AB0D6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05" w:leftChars="89" w:hanging="18" w:hangingChars="9"/>
              <w:jc w:val="left"/>
              <w:textAlignment w:val="auto"/>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spacing w:val="-3"/>
                <w:sz w:val="21"/>
                <w:szCs w:val="21"/>
              </w:rPr>
              <w:t>张家界、凤凰为国家三线以下</w:t>
            </w:r>
            <w:r>
              <w:rPr>
                <w:rFonts w:hint="eastAsia" w:ascii="微软雅黑" w:hAnsi="微软雅黑" w:eastAsia="微软雅黑" w:cs="微软雅黑"/>
                <w:spacing w:val="-4"/>
                <w:sz w:val="21"/>
                <w:szCs w:val="21"/>
              </w:rPr>
              <w:t>旅游</w:t>
            </w:r>
            <w:r>
              <w:rPr>
                <w:rFonts w:hint="eastAsia" w:ascii="微软雅黑" w:hAnsi="微软雅黑" w:eastAsia="微软雅黑" w:cs="微软雅黑"/>
                <w:spacing w:val="-3"/>
                <w:sz w:val="21"/>
                <w:szCs w:val="21"/>
              </w:rPr>
              <w:t>城市，酒店各项标准偏低 ，主要以卫生舒适为主 ，提前做好心理准备 ！</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2"/>
                <w:sz w:val="21"/>
                <w:szCs w:val="21"/>
              </w:rPr>
              <w:t>（</w:t>
            </w:r>
            <w:r>
              <w:rPr>
                <w:rFonts w:hint="eastAsia" w:ascii="微软雅黑" w:hAnsi="微软雅黑" w:eastAsia="微软雅黑" w:cs="微软雅黑"/>
                <w:b/>
                <w:bCs/>
                <w:spacing w:val="-2"/>
                <w:sz w:val="21"/>
                <w:szCs w:val="21"/>
              </w:rPr>
              <w:t>参考酒店如遇房间紧张，则改入住同级酒店</w:t>
            </w:r>
            <w:r>
              <w:rPr>
                <w:rFonts w:hint="eastAsia" w:ascii="微软雅黑" w:hAnsi="微软雅黑" w:eastAsia="微软雅黑" w:cs="微软雅黑"/>
                <w:spacing w:val="-2"/>
                <w:sz w:val="21"/>
                <w:szCs w:val="21"/>
              </w:rPr>
              <w:t>）</w:t>
            </w:r>
          </w:p>
          <w:p w14:paraId="6C5A94D0">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jc w:val="lef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sz w:val="21"/>
                <w:szCs w:val="21"/>
              </w:rPr>
              <w:t>3、餐费：</w:t>
            </w:r>
            <w:r>
              <w:rPr>
                <w:rFonts w:hint="eastAsia" w:ascii="微软雅黑" w:hAnsi="微软雅黑" w:eastAsia="微软雅黑" w:cs="微软雅黑"/>
                <w:spacing w:val="-2"/>
                <w:sz w:val="21"/>
                <w:szCs w:val="21"/>
              </w:rPr>
              <w:t>全程含</w:t>
            </w:r>
            <w:r>
              <w:rPr>
                <w:rFonts w:hint="eastAsia" w:ascii="微软雅黑" w:hAnsi="微软雅黑" w:eastAsia="微软雅黑" w:cs="微软雅黑"/>
                <w:spacing w:val="-2"/>
                <w:sz w:val="21"/>
                <w:szCs w:val="21"/>
                <w:lang w:val="en-US" w:eastAsia="zh-CN"/>
              </w:rPr>
              <w:t>4</w:t>
            </w:r>
            <w:r>
              <w:rPr>
                <w:rFonts w:hint="eastAsia" w:ascii="微软雅黑" w:hAnsi="微软雅黑" w:eastAsia="微软雅黑" w:cs="微软雅黑"/>
                <w:spacing w:val="-2"/>
                <w:sz w:val="21"/>
                <w:szCs w:val="21"/>
              </w:rPr>
              <w:t>早 3 正餐</w:t>
            </w:r>
            <w:r>
              <w:rPr>
                <w:rFonts w:hint="eastAsia" w:ascii="微软雅黑" w:hAnsi="微软雅黑" w:eastAsia="微软雅黑" w:cs="微软雅黑"/>
                <w:spacing w:val="-14"/>
                <w:sz w:val="21"/>
                <w:szCs w:val="21"/>
              </w:rPr>
              <w:t xml:space="preserve"> </w:t>
            </w:r>
            <w:r>
              <w:rPr>
                <w:rFonts w:hint="eastAsia" w:ascii="微软雅黑" w:hAnsi="微软雅黑" w:eastAsia="微软雅黑" w:cs="微软雅黑"/>
                <w:spacing w:val="-2"/>
                <w:sz w:val="21"/>
                <w:szCs w:val="21"/>
              </w:rPr>
              <w:t>，不含酒水</w:t>
            </w:r>
            <w:r>
              <w:rPr>
                <w:rFonts w:hint="eastAsia" w:ascii="微软雅黑" w:hAnsi="微软雅黑" w:eastAsia="微软雅黑" w:cs="微软雅黑"/>
                <w:spacing w:val="-13"/>
                <w:sz w:val="21"/>
                <w:szCs w:val="21"/>
              </w:rPr>
              <w:t xml:space="preserve"> </w:t>
            </w:r>
            <w:r>
              <w:rPr>
                <w:rFonts w:hint="eastAsia" w:ascii="微软雅黑" w:hAnsi="微软雅黑" w:eastAsia="微软雅黑" w:cs="微软雅黑"/>
                <w:spacing w:val="-47"/>
                <w:w w:val="83"/>
                <w:sz w:val="21"/>
                <w:szCs w:val="21"/>
              </w:rPr>
              <w:t>，（</w:t>
            </w:r>
            <w:r>
              <w:rPr>
                <w:rFonts w:hint="eastAsia" w:ascii="微软雅黑" w:hAnsi="微软雅黑" w:eastAsia="微软雅黑" w:cs="微软雅黑"/>
                <w:spacing w:val="-2"/>
                <w:sz w:val="21"/>
                <w:szCs w:val="21"/>
              </w:rPr>
              <w:t>其他时间可体验特色美食）</w:t>
            </w:r>
          </w:p>
          <w:p w14:paraId="10654060">
            <w:pPr>
              <w:keepNext w:val="0"/>
              <w:keepLines w:val="0"/>
              <w:pageBreakBefore w:val="0"/>
              <w:widowControl w:val="0"/>
              <w:kinsoku/>
              <w:wordWrap/>
              <w:overflowPunct/>
              <w:topLinePunct w:val="0"/>
              <w:autoSpaceDE/>
              <w:autoSpaceDN/>
              <w:bidi w:val="0"/>
              <w:adjustRightInd/>
              <w:snapToGrid/>
              <w:spacing w:line="360" w:lineRule="exact"/>
              <w:ind w:left="140" w:leftChars="0" w:hanging="14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sz w:val="21"/>
                <w:szCs w:val="21"/>
              </w:rPr>
              <w:t>4、交通：</w:t>
            </w:r>
            <w:r>
              <w:rPr>
                <w:rFonts w:hint="eastAsia" w:ascii="微软雅黑" w:hAnsi="微软雅黑" w:eastAsia="微软雅黑" w:cs="微软雅黑"/>
                <w:spacing w:val="-1"/>
                <w:sz w:val="21"/>
                <w:szCs w:val="21"/>
              </w:rPr>
              <w:t>湖南地接指定委派 GPS 安全监控系统旅游车配置空调旅游车（确</w:t>
            </w:r>
            <w:r>
              <w:rPr>
                <w:rFonts w:hint="eastAsia" w:ascii="微软雅黑" w:hAnsi="微软雅黑" w:eastAsia="微软雅黑" w:cs="微软雅黑"/>
                <w:spacing w:val="-2"/>
                <w:sz w:val="21"/>
                <w:szCs w:val="21"/>
              </w:rPr>
              <w:t>保一人一</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5"/>
                <w:sz w:val="21"/>
                <w:szCs w:val="21"/>
              </w:rPr>
              <w:t>正座</w:t>
            </w:r>
            <w:r>
              <w:rPr>
                <w:rFonts w:hint="eastAsia" w:ascii="微软雅黑" w:hAnsi="微软雅黑" w:eastAsia="微软雅黑" w:cs="微软雅黑"/>
                <w:spacing w:val="-28"/>
                <w:sz w:val="21"/>
                <w:szCs w:val="21"/>
              </w:rPr>
              <w:t>）</w:t>
            </w:r>
            <w:r>
              <w:rPr>
                <w:rFonts w:hint="eastAsia" w:ascii="微软雅黑" w:hAnsi="微软雅黑" w:eastAsia="微软雅黑" w:cs="微软雅黑"/>
                <w:spacing w:val="-23"/>
                <w:sz w:val="21"/>
                <w:szCs w:val="21"/>
              </w:rPr>
              <w:t xml:space="preserve"> </w:t>
            </w:r>
            <w:r>
              <w:rPr>
                <w:rFonts w:hint="eastAsia" w:ascii="微软雅黑" w:hAnsi="微软雅黑" w:eastAsia="微软雅黑" w:cs="微软雅黑"/>
                <w:spacing w:val="-28"/>
                <w:sz w:val="21"/>
                <w:szCs w:val="21"/>
              </w:rPr>
              <w:t>，</w:t>
            </w:r>
            <w:r>
              <w:rPr>
                <w:rFonts w:hint="eastAsia" w:ascii="微软雅黑" w:hAnsi="微软雅黑" w:eastAsia="微软雅黑" w:cs="微软雅黑"/>
                <w:spacing w:val="-5"/>
                <w:sz w:val="21"/>
                <w:szCs w:val="21"/>
              </w:rPr>
              <w:t>若成团人数少于</w:t>
            </w:r>
            <w:r>
              <w:rPr>
                <w:rFonts w:hint="eastAsia" w:ascii="微软雅黑" w:hAnsi="微软雅黑" w:eastAsia="微软雅黑" w:cs="微软雅黑"/>
                <w:spacing w:val="-5"/>
                <w:sz w:val="21"/>
                <w:szCs w:val="21"/>
                <w:lang w:val="en-US" w:eastAsia="zh-CN"/>
              </w:rPr>
              <w:t>8</w:t>
            </w:r>
            <w:r>
              <w:rPr>
                <w:rFonts w:hint="eastAsia" w:ascii="微软雅黑" w:hAnsi="微软雅黑" w:eastAsia="微软雅黑" w:cs="微软雅黑"/>
                <w:spacing w:val="-5"/>
                <w:sz w:val="21"/>
                <w:szCs w:val="21"/>
              </w:rPr>
              <w:t xml:space="preserve"> 人</w:t>
            </w:r>
            <w:r>
              <w:rPr>
                <w:rFonts w:hint="eastAsia" w:ascii="微软雅黑" w:hAnsi="微软雅黑" w:eastAsia="微软雅黑" w:cs="微软雅黑"/>
                <w:spacing w:val="-18"/>
                <w:sz w:val="21"/>
                <w:szCs w:val="21"/>
              </w:rPr>
              <w:t xml:space="preserve"> </w:t>
            </w:r>
            <w:r>
              <w:rPr>
                <w:rFonts w:hint="eastAsia" w:ascii="微软雅黑" w:hAnsi="微软雅黑" w:eastAsia="微软雅黑" w:cs="微软雅黑"/>
                <w:spacing w:val="-5"/>
                <w:sz w:val="21"/>
                <w:szCs w:val="21"/>
              </w:rPr>
              <w:t>，则改用相应的商务旅游车</w:t>
            </w:r>
            <w:r>
              <w:rPr>
                <w:rFonts w:hint="eastAsia" w:ascii="微软雅黑" w:hAnsi="微软雅黑" w:eastAsia="微软雅黑" w:cs="微软雅黑"/>
                <w:spacing w:val="-18"/>
                <w:sz w:val="21"/>
                <w:szCs w:val="21"/>
              </w:rPr>
              <w:t xml:space="preserve"> </w:t>
            </w:r>
            <w:r>
              <w:rPr>
                <w:rFonts w:hint="eastAsia" w:ascii="微软雅黑" w:hAnsi="微软雅黑" w:eastAsia="微软雅黑" w:cs="微软雅黑"/>
                <w:spacing w:val="-5"/>
                <w:sz w:val="21"/>
                <w:szCs w:val="21"/>
              </w:rPr>
              <w:t>，敬请谅解。</w:t>
            </w:r>
          </w:p>
          <w:p w14:paraId="58BE22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5、导服：</w:t>
            </w:r>
            <w:r>
              <w:rPr>
                <w:rFonts w:hint="eastAsia" w:ascii="微软雅黑" w:hAnsi="微软雅黑" w:eastAsia="微软雅黑" w:cs="微软雅黑"/>
                <w:spacing w:val="-3"/>
                <w:sz w:val="21"/>
                <w:szCs w:val="21"/>
              </w:rPr>
              <w:t>优秀地陪导游服务</w:t>
            </w:r>
            <w:r>
              <w:rPr>
                <w:rFonts w:hint="eastAsia" w:ascii="微软雅黑" w:hAnsi="微软雅黑" w:eastAsia="微软雅黑" w:cs="微软雅黑"/>
                <w:spacing w:val="24"/>
                <w:sz w:val="21"/>
                <w:szCs w:val="21"/>
              </w:rPr>
              <w:t xml:space="preserve"> </w:t>
            </w:r>
            <w:r>
              <w:rPr>
                <w:rFonts w:hint="eastAsia" w:ascii="微软雅黑" w:hAnsi="微软雅黑" w:eastAsia="微软雅黑" w:cs="微软雅黑"/>
                <w:spacing w:val="-3"/>
                <w:sz w:val="21"/>
                <w:szCs w:val="21"/>
              </w:rPr>
              <w:t>，全程热诚对待每一位远方而来的客人。</w:t>
            </w:r>
          </w:p>
          <w:p w14:paraId="6C07FA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6</w:t>
            </w:r>
            <w:r>
              <w:rPr>
                <w:rFonts w:hint="eastAsia" w:ascii="微软雅黑" w:hAnsi="微软雅黑" w:eastAsia="微软雅黑" w:cs="微软雅黑"/>
                <w:sz w:val="21"/>
                <w:szCs w:val="21"/>
              </w:rPr>
              <w:t>、</w:t>
            </w:r>
            <w:r>
              <w:rPr>
                <w:rFonts w:hint="eastAsia" w:ascii="微软雅黑" w:hAnsi="微软雅黑" w:eastAsia="微软雅黑" w:cs="微软雅黑"/>
                <w:b w:val="0"/>
                <w:bCs w:val="0"/>
                <w:color w:val="000000" w:themeColor="text1"/>
                <w:sz w:val="21"/>
                <w:szCs w:val="21"/>
                <w14:textFill>
                  <w14:solidFill>
                    <w14:schemeClr w14:val="tx1"/>
                  </w14:solidFill>
                </w14:textFill>
              </w:rPr>
              <w:t>购物：</w:t>
            </w:r>
            <w:r>
              <w:rPr>
                <w:rFonts w:hint="eastAsia" w:ascii="微软雅黑" w:hAnsi="微软雅黑" w:eastAsia="微软雅黑" w:cs="微软雅黑"/>
                <w:spacing w:val="-2"/>
                <w:sz w:val="21"/>
                <w:szCs w:val="21"/>
              </w:rPr>
              <w:t>全程无超市,翡翠,珠宝店</w:t>
            </w:r>
            <w:r>
              <w:rPr>
                <w:rFonts w:hint="eastAsia" w:ascii="微软雅黑" w:hAnsi="微软雅黑" w:eastAsia="微软雅黑" w:cs="微软雅黑"/>
                <w:b w:val="0"/>
                <w:bCs w:val="0"/>
                <w:sz w:val="21"/>
                <w:szCs w:val="21"/>
              </w:rPr>
              <w:t xml:space="preserve"> </w:t>
            </w:r>
          </w:p>
          <w:p w14:paraId="2FC72F4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val="0"/>
                <w:bCs w:val="0"/>
                <w:sz w:val="21"/>
                <w:szCs w:val="21"/>
                <w:lang w:val="en-US" w:eastAsia="zh-CN"/>
              </w:rPr>
              <w:t>7、说明：</w:t>
            </w:r>
            <w:r>
              <w:rPr>
                <w:rFonts w:hint="eastAsia" w:ascii="微软雅黑" w:hAnsi="微软雅黑" w:eastAsia="微软雅黑" w:cs="微软雅黑"/>
                <w:b/>
                <w:bCs/>
                <w:color w:val="FF0000"/>
                <w:sz w:val="21"/>
                <w:szCs w:val="21"/>
                <w:lang w:val="en-US" w:eastAsia="zh-CN"/>
              </w:rPr>
              <w:t>本产品为打包产品无任何退费！谢谢理解！</w:t>
            </w:r>
            <w:r>
              <w:rPr>
                <w:rFonts w:hint="eastAsia" w:ascii="微软雅黑" w:hAnsi="微软雅黑" w:eastAsia="微软雅黑" w:cs="微软雅黑"/>
                <w:b/>
                <w:bCs/>
                <w:color w:val="FF0000"/>
                <w:sz w:val="21"/>
                <w:szCs w:val="21"/>
              </w:rPr>
              <w:t xml:space="preserve"> </w:t>
            </w:r>
          </w:p>
        </w:tc>
      </w:tr>
      <w:tr w14:paraId="59CD2D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524FA5FA">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4D1477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儿童价格执行标准：身高1.2米以下</w:t>
            </w:r>
          </w:p>
          <w:p w14:paraId="61D274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儿童价格包含：当地接待车位费、全程半餐费、导游服务费</w:t>
            </w:r>
          </w:p>
          <w:p w14:paraId="47C354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儿童价格不含：住宿、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早餐</w:t>
            </w:r>
            <w:r>
              <w:rPr>
                <w:rFonts w:hint="eastAsia" w:ascii="微软雅黑" w:hAnsi="微软雅黑" w:eastAsia="微软雅黑" w:cs="微软雅黑"/>
                <w:color w:val="000000" w:themeColor="text1"/>
                <w:sz w:val="21"/>
                <w:szCs w:val="21"/>
                <w14:textFill>
                  <w14:solidFill>
                    <w14:schemeClr w14:val="tx1"/>
                  </w14:solidFill>
                </w14:textFill>
              </w:rPr>
              <w:t>、门票；若产生费用现付当地导游</w:t>
            </w:r>
          </w:p>
          <w:p w14:paraId="2A8283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val="0"/>
                <w:color w:val="000000" w:themeColor="text1"/>
                <w:sz w:val="21"/>
                <w:szCs w:val="21"/>
                <w14:textFill>
                  <w14:solidFill>
                    <w14:schemeClr w14:val="tx1"/>
                  </w14:solidFill>
                </w14:textFill>
              </w:rPr>
              <w:t>特别提示：身高1米2以下儿童景区门票免费，超过1米2的儿童请提前报备并预定相应门票，如未预定在当地临时需要也许不能保证可以正常购买</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p>
          <w:p w14:paraId="1166E9AF">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4、</w:t>
            </w:r>
            <w:r>
              <w:rPr>
                <w:rFonts w:hint="eastAsia" w:ascii="微软雅黑" w:hAnsi="微软雅黑" w:eastAsia="微软雅黑" w:cs="微软雅黑"/>
                <w:color w:val="000000" w:themeColor="text1"/>
                <w:sz w:val="21"/>
                <w:szCs w:val="21"/>
                <w14:textFill>
                  <w14:solidFill>
                    <w14:schemeClr w14:val="tx1"/>
                  </w14:solidFill>
                </w14:textFill>
              </w:rPr>
              <w:t>儿童不含成人报价中的赠送门票项目</w:t>
            </w:r>
          </w:p>
        </w:tc>
      </w:tr>
      <w:tr w14:paraId="3010B2C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9" w:hRule="atLeast"/>
        </w:trPr>
        <w:tc>
          <w:tcPr>
            <w:tcW w:w="11628" w:type="dxa"/>
            <w:gridSpan w:val="6"/>
            <w:tcBorders>
              <w:top w:val="single" w:color="auto" w:sz="4" w:space="0"/>
              <w:left w:val="single" w:color="auto" w:sz="4" w:space="0"/>
              <w:bottom w:val="single" w:color="auto" w:sz="4" w:space="0"/>
              <w:right w:val="single" w:color="auto" w:sz="4" w:space="0"/>
            </w:tcBorders>
          </w:tcPr>
          <w:p w14:paraId="47957538">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471E363B">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color w:val="FF0000"/>
                <w:sz w:val="21"/>
                <w:szCs w:val="21"/>
                <w:highlight w:val="yellow"/>
                <w:lang w:val="en-US" w:eastAsia="zh-CN"/>
              </w:rPr>
            </w:pPr>
            <w:r>
              <w:rPr>
                <w:rFonts w:hint="eastAsia" w:ascii="微软雅黑" w:hAnsi="微软雅黑" w:eastAsia="微软雅黑" w:cs="微软雅黑"/>
                <w:b/>
                <w:bCs/>
                <w:color w:val="FF0000"/>
                <w:sz w:val="21"/>
                <w:szCs w:val="21"/>
                <w:lang w:val="en-US" w:eastAsia="zh-CN"/>
              </w:rPr>
              <w:t>25-74岁属于正常年龄</w:t>
            </w:r>
          </w:p>
          <w:p w14:paraId="3BCADF8D">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1.14岁以下需按儿童报名。14-25周岁，按成人报名附加300/人。</w:t>
            </w:r>
          </w:p>
          <w:p w14:paraId="1449D90C">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2.70岁以上游客必须有全程监护人陪同旅游，并带近三个月三甲医院出具的健康证明。</w:t>
            </w:r>
          </w:p>
          <w:p w14:paraId="184655DF">
            <w:pPr>
              <w:pStyle w:val="18"/>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记者、律师、残疾人、孕妇、同行不接待，65岁以上须有成年人陪同。</w:t>
            </w:r>
          </w:p>
          <w:p w14:paraId="3F1F9310">
            <w:pPr>
              <w:pStyle w:val="18"/>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同组2-8人，9-10人结算价+100元/人;10人以上+200元/人。</w:t>
            </w:r>
          </w:p>
          <w:p w14:paraId="63285E72">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5.若因客人自身原因导致不能正常走完行程或者提前离团，需补加团费800元/人(如遇特殊情况，在不减少景点的前提下，我社保有调整景点顺序的权利)</w:t>
            </w:r>
          </w:p>
        </w:tc>
      </w:tr>
      <w:tr w14:paraId="68FAF4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0DBA619A">
            <w:pPr>
              <w:keepNext w:val="0"/>
              <w:keepLines w:val="0"/>
              <w:pageBreakBefore w:val="0"/>
              <w:widowControl/>
              <w:suppressLineNumbers w:val="0"/>
              <w:kinsoku/>
              <w:wordWrap/>
              <w:overflowPunct/>
              <w:topLinePunct w:val="0"/>
              <w:autoSpaceDE/>
              <w:bidi w:val="0"/>
              <w:adjustRightIn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9F1FE34">
            <w:pPr>
              <w:keepNext w:val="0"/>
              <w:keepLines w:val="0"/>
              <w:pageBreakBefore w:val="0"/>
              <w:widowControl/>
              <w:suppressLineNumbers w:val="0"/>
              <w:kinsoku/>
              <w:wordWrap/>
              <w:overflowPunct/>
              <w:topLinePunct w:val="0"/>
              <w:autoSpaceDE/>
              <w:bidi w:val="0"/>
              <w:adjustRightInd/>
              <w:spacing w:line="360" w:lineRule="exact"/>
              <w:jc w:val="left"/>
              <w:textAlignment w:val="auto"/>
              <w:rPr>
                <w:rFonts w:hint="eastAsia" w:ascii="微软雅黑" w:hAnsi="微软雅黑" w:eastAsia="微软雅黑" w:cs="微软雅黑"/>
                <w:color w:val="0C0C0C"/>
                <w:sz w:val="21"/>
                <w:szCs w:val="21"/>
                <w:highlight w:val="none"/>
                <w:lang w:val="en-US" w:eastAsia="zh-CN"/>
              </w:rPr>
            </w:pPr>
            <w:r>
              <w:rPr>
                <w:rFonts w:hint="eastAsia" w:ascii="微软雅黑" w:hAnsi="微软雅黑" w:eastAsia="微软雅黑" w:cs="微软雅黑"/>
                <w:color w:val="0C0C0C"/>
                <w:sz w:val="21"/>
                <w:szCs w:val="21"/>
                <w:highlight w:val="none"/>
                <w:lang w:val="en-US" w:eastAsia="zh-CN"/>
              </w:rPr>
              <w:t>1、酒店时请出示身份证并主动交纳房卡压金（退房时退押金）；</w:t>
            </w:r>
          </w:p>
          <w:p w14:paraId="0E4086F7">
            <w:pPr>
              <w:keepNext w:val="0"/>
              <w:keepLines w:val="0"/>
              <w:pageBreakBefore w:val="0"/>
              <w:tabs>
                <w:tab w:val="left" w:pos="1036"/>
              </w:tabs>
              <w:kinsoku/>
              <w:wordWrap/>
              <w:overflowPunct/>
              <w:topLinePunct w:val="0"/>
              <w:autoSpaceDE/>
              <w:bidi w:val="0"/>
              <w:adjustRightInd/>
              <w:spacing w:line="360" w:lineRule="exact"/>
              <w:jc w:val="left"/>
              <w:textAlignment w:val="auto"/>
              <w:rPr>
                <w:rFonts w:hint="eastAsia" w:ascii="微软雅黑" w:hAnsi="微软雅黑" w:eastAsia="微软雅黑" w:cs="微软雅黑"/>
                <w:color w:val="0C0C0C"/>
                <w:sz w:val="21"/>
                <w:szCs w:val="21"/>
                <w:highlight w:val="none"/>
                <w:lang w:val="en-US" w:eastAsia="zh-CN"/>
              </w:rPr>
            </w:pPr>
            <w:r>
              <w:rPr>
                <w:rFonts w:hint="eastAsia" w:ascii="微软雅黑" w:hAnsi="微软雅黑" w:eastAsia="微软雅黑" w:cs="微软雅黑"/>
                <w:color w:val="0C0C0C"/>
                <w:sz w:val="21"/>
                <w:szCs w:val="21"/>
                <w:highlight w:val="none"/>
                <w:lang w:val="en-US" w:eastAsia="zh-CN"/>
              </w:rPr>
              <w:t>2、旅游意外保险及航空保险，建议客人报名时提前购买；</w:t>
            </w:r>
          </w:p>
          <w:p w14:paraId="00971167">
            <w:pPr>
              <w:keepNext w:val="0"/>
              <w:keepLines w:val="0"/>
              <w:pageBreakBefore w:val="0"/>
              <w:kinsoku/>
              <w:wordWrap/>
              <w:overflowPunct/>
              <w:topLinePunct w:val="0"/>
              <w:autoSpaceDE/>
              <w:autoSpaceDN w:val="0"/>
              <w:bidi w:val="0"/>
              <w:adjustRightInd/>
              <w:snapToGrid w:val="0"/>
              <w:spacing w:line="360" w:lineRule="exact"/>
              <w:ind w:right="420" w:rightChars="200"/>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color w:val="0C0C0C"/>
                <w:sz w:val="21"/>
                <w:szCs w:val="21"/>
                <w:highlight w:val="none"/>
                <w:lang w:val="en-US" w:eastAsia="zh-CN"/>
              </w:rPr>
              <w:t>3、非行程内约定包含的景区内交通费用；私人所产生的个人费用等；</w:t>
            </w:r>
          </w:p>
        </w:tc>
      </w:tr>
      <w:tr w14:paraId="2320B3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3FFA6923">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0DA510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b w:val="0"/>
                <w:bCs w:val="0"/>
                <w:sz w:val="21"/>
                <w:szCs w:val="24"/>
              </w:rPr>
              <w:t>豪华型:蓝湾博格、亚朵酒店等同等级，</w:t>
            </w:r>
          </w:p>
          <w:p w14:paraId="181A9C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b w:val="0"/>
                <w:bCs w:val="0"/>
                <w:sz w:val="21"/>
                <w:szCs w:val="24"/>
              </w:rPr>
              <w:t>武陵源:清心园、专家村等同等级</w:t>
            </w:r>
          </w:p>
          <w:p w14:paraId="2C51B8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b w:val="0"/>
                <w:bCs w:val="0"/>
                <w:sz w:val="21"/>
                <w:szCs w:val="24"/>
              </w:rPr>
              <w:t>凤凰:长河临江酒店、月下度假别院、未知山御墅等同等级</w:t>
            </w:r>
          </w:p>
          <w:p w14:paraId="081C93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lang w:val="en-US" w:eastAsia="zh-CN"/>
              </w:rPr>
            </w:pPr>
            <w:r>
              <w:rPr>
                <w:rFonts w:hint="eastAsia" w:ascii="微软雅黑" w:hAnsi="微软雅黑" w:eastAsia="微软雅黑" w:cs="微软雅黑"/>
                <w:b w:val="0"/>
                <w:bCs w:val="0"/>
                <w:color w:val="000000" w:themeColor="text1"/>
                <w:sz w:val="21"/>
                <w:szCs w:val="24"/>
                <w14:textFill>
                  <w14:solidFill>
                    <w14:schemeClr w14:val="tx1"/>
                  </w14:solidFill>
                </w14:textFill>
              </w:rPr>
              <w:t>（在特殊情况下如有以上酒店订满的情况下选订同级酒店）</w:t>
            </w:r>
          </w:p>
        </w:tc>
      </w:tr>
      <w:tr w14:paraId="03F9AE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0524382F">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3DE3BF1A">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b/>
                <w:bCs/>
                <w:color w:val="FF0000"/>
                <w:lang w:val="zh-CN" w:eastAsia="zh-CN"/>
              </w:rPr>
              <w:t>此行程为特惠打包价，所有优惠人群均无退费；老年人、学生参团请带好学生证，老年证，身份证或户口本等相关证件；配合出示证件，无退费。</w:t>
            </w:r>
          </w:p>
        </w:tc>
      </w:tr>
      <w:tr w14:paraId="53CC70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0CE15EF6">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3D24A33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b w:val="0"/>
                <w:bCs w:val="0"/>
                <w:sz w:val="21"/>
                <w:szCs w:val="21"/>
                <w:highlight w:val="none"/>
                <w:lang w:val="en-US" w:eastAsia="zh-CN"/>
              </w:rPr>
              <w:t>重要证件要备齐</w:t>
            </w:r>
            <w:r>
              <w:rPr>
                <w:rFonts w:hint="eastAsia" w:ascii="微软雅黑" w:hAnsi="微软雅黑" w:eastAsia="微软雅黑" w:cs="微软雅黑"/>
                <w:sz w:val="21"/>
                <w:szCs w:val="21"/>
                <w:highlight w:val="none"/>
                <w:lang w:val="en-US" w:eastAsia="zh-CN"/>
              </w:rPr>
              <w:t>：出行请携带有效证件（身份证、护照），未满18周岁未成年人可携带户口本/身份证。</w:t>
            </w:r>
          </w:p>
          <w:p w14:paraId="64AE6B18">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b w:val="0"/>
                <w:bCs w:val="0"/>
                <w:sz w:val="21"/>
                <w:szCs w:val="21"/>
                <w:highlight w:val="none"/>
                <w:lang w:val="en-US" w:eastAsia="zh-CN"/>
              </w:rPr>
              <w:t>老年儿童多关注</w:t>
            </w:r>
            <w:r>
              <w:rPr>
                <w:rFonts w:hint="eastAsia" w:ascii="微软雅黑" w:hAnsi="微软雅黑" w:eastAsia="微软雅黑" w:cs="微软雅黑"/>
                <w:sz w:val="21"/>
                <w:szCs w:val="21"/>
                <w:highlight w:val="none"/>
                <w:lang w:val="en-US" w:eastAsia="zh-CN"/>
              </w:rPr>
              <w:t>：18 岁以下的青少年，70岁以上的老人年，请从安全和身体方面多多考虑，最好是家属同游，天伦之乐不独缺。</w:t>
            </w:r>
          </w:p>
          <w:p w14:paraId="5BCBD8D0">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b w:val="0"/>
                <w:bCs w:val="0"/>
                <w:sz w:val="21"/>
                <w:szCs w:val="21"/>
                <w:highlight w:val="none"/>
                <w:lang w:val="en-US" w:eastAsia="zh-CN"/>
              </w:rPr>
              <w:t>自动放弃不退还</w:t>
            </w:r>
            <w:r>
              <w:rPr>
                <w:rFonts w:hint="eastAsia" w:ascii="微软雅黑" w:hAnsi="微软雅黑" w:eastAsia="微软雅黑" w:cs="微软雅黑"/>
                <w:sz w:val="21"/>
                <w:szCs w:val="21"/>
                <w:highlight w:val="none"/>
                <w:lang w:val="en-US" w:eastAsia="zh-CN"/>
              </w:rPr>
              <w:t>：行程中安排的景点、活动、美食等体验，如因个人原因放弃，所产生的费用概不还。</w:t>
            </w:r>
          </w:p>
          <w:p w14:paraId="61E86EE9">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151" w:leftChars="0" w:right="0" w:rightChars="0" w:hanging="151" w:hangingChars="72"/>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b w:val="0"/>
                <w:bCs w:val="0"/>
                <w:sz w:val="21"/>
                <w:szCs w:val="21"/>
                <w:highlight w:val="none"/>
                <w:lang w:val="en-US" w:eastAsia="zh-CN"/>
              </w:rPr>
              <w:t>地域差异多体谅</w:t>
            </w:r>
            <w:r>
              <w:rPr>
                <w:rFonts w:hint="eastAsia" w:ascii="微软雅黑" w:hAnsi="微软雅黑" w:eastAsia="微软雅黑" w:cs="微软雅黑"/>
                <w:sz w:val="21"/>
                <w:szCs w:val="21"/>
                <w:highlight w:val="none"/>
                <w:lang w:val="en-US" w:eastAsia="zh-CN"/>
              </w:rPr>
              <w:t>：各地经济发展水平不一，旅途中入乡随俗更能体会当地人的真实生活，如有未尽如人意之细节，请多多体谅和包容，湘西片区少数民族众多，游览过程中请配合导游尊重各地风俗习惯。</w:t>
            </w:r>
          </w:p>
          <w:p w14:paraId="4C018B01">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b w:val="0"/>
                <w:bCs w:val="0"/>
                <w:sz w:val="21"/>
                <w:szCs w:val="21"/>
                <w:highlight w:val="none"/>
                <w:lang w:val="en-US" w:eastAsia="zh-CN"/>
              </w:rPr>
              <w:t>不可抗力快响应：</w:t>
            </w:r>
            <w:r>
              <w:rPr>
                <w:rFonts w:hint="eastAsia" w:ascii="微软雅黑" w:hAnsi="微软雅黑" w:eastAsia="微软雅黑" w:cs="微软雅黑"/>
                <w:sz w:val="21"/>
                <w:szCs w:val="21"/>
                <w:highlight w:val="none"/>
                <w:lang w:val="en-US" w:eastAsia="zh-CN"/>
              </w:rPr>
              <w:t>旅途中如遇到不可抗力，如景区、餐厅、交通等比较拥堵，请耐心等待，相互礼让。</w:t>
            </w:r>
          </w:p>
          <w:p w14:paraId="2AA0E1A0">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210" w:leftChars="100" w:right="0" w:rightChars="0" w:firstLine="0" w:firstLine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导游会努力与各方衔接，请听从导游安排，以免耽误行程，如有等候，敬请谅解。</w:t>
            </w:r>
          </w:p>
          <w:p w14:paraId="798E88BE">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210" w:right="0" w:rightChars="0" w:hanging="210" w:hangingChars="10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b w:val="0"/>
                <w:bCs w:val="0"/>
                <w:sz w:val="21"/>
                <w:szCs w:val="21"/>
                <w:highlight w:val="none"/>
                <w:lang w:val="en-US" w:eastAsia="zh-CN"/>
              </w:rPr>
              <w:t>山区出游多准备</w:t>
            </w:r>
            <w:r>
              <w:rPr>
                <w:rFonts w:hint="eastAsia" w:ascii="微软雅黑" w:hAnsi="微软雅黑" w:eastAsia="微软雅黑" w:cs="微软雅黑"/>
                <w:sz w:val="21"/>
                <w:szCs w:val="21"/>
                <w:highlight w:val="none"/>
                <w:lang w:val="en-US" w:eastAsia="zh-CN"/>
              </w:rPr>
              <w:t>：一双轻便的运动鞋，一套舒适的运动衫，一把晴雨两用伞，一件厚度适中的外套，一瓶高倍数的防晒，一些家乡口味的小零食等，它们将为您的张家界旅途带来诸多的便捷.</w:t>
            </w:r>
          </w:p>
          <w:p w14:paraId="68CE0B59">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140" w:leftChars="0" w:right="0" w:rightChars="0" w:hanging="140" w:firstLine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b w:val="0"/>
                <w:bCs w:val="0"/>
                <w:sz w:val="21"/>
                <w:szCs w:val="21"/>
                <w:highlight w:val="none"/>
                <w:lang w:val="en-US" w:eastAsia="zh-CN"/>
              </w:rPr>
              <w:t>酒店商务客人入住居多，退房时间较晚，上午抵达客人正常为两点后进房，如早到行李可寄存总台后自由活动，入住前请出示身份证并主动交纳房卡押金。</w:t>
            </w:r>
            <w:r>
              <w:rPr>
                <w:rFonts w:hint="eastAsia" w:ascii="微软雅黑" w:hAnsi="微软雅黑" w:eastAsia="微软雅黑" w:cs="微软雅黑"/>
                <w:sz w:val="21"/>
                <w:szCs w:val="21"/>
                <w:highlight w:val="none"/>
                <w:lang w:val="en-US" w:eastAsia="zh-CN"/>
              </w:rPr>
              <w:t>特殊情况遇到房满或大型会议，我社有权另安排同级别酒店，现在湖南地区实行节能减排政策，很多酒店没有一次性用品，请客人自备洗漱用品！</w:t>
            </w:r>
          </w:p>
          <w:p w14:paraId="42E92C64">
            <w:pPr>
              <w:pStyle w:val="18"/>
              <w:keepNext w:val="0"/>
              <w:keepLines w:val="0"/>
              <w:pageBreakBefore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b w:val="0"/>
                <w:bCs w:val="0"/>
                <w:sz w:val="21"/>
                <w:szCs w:val="21"/>
                <w:highlight w:val="none"/>
                <w:lang w:val="en-US" w:eastAsia="zh-CN"/>
              </w:rPr>
              <w:t>景区内有特级禁烟区的地方（请勿在景区内抽烟）</w:t>
            </w:r>
            <w:r>
              <w:rPr>
                <w:rFonts w:hint="eastAsia" w:ascii="微软雅黑" w:hAnsi="微软雅黑" w:eastAsia="微软雅黑" w:cs="微软雅黑"/>
                <w:sz w:val="21"/>
                <w:szCs w:val="21"/>
                <w:highlight w:val="none"/>
                <w:lang w:val="en-US" w:eastAsia="zh-CN"/>
              </w:rPr>
              <w:t>，以防发生森林火灾；旅行期间请注意环境保护，让我</w:t>
            </w:r>
          </w:p>
          <w:p w14:paraId="0D04B860">
            <w:pPr>
              <w:pStyle w:val="18"/>
              <w:keepNext w:val="0"/>
              <w:keepLines w:val="0"/>
              <w:pageBreakBefore w:val="0"/>
              <w:numPr>
                <w:ilvl w:val="0"/>
                <w:numId w:val="0"/>
              </w:numPr>
              <w:kinsoku/>
              <w:wordWrap/>
              <w:overflowPunct/>
              <w:topLinePunct w:val="0"/>
              <w:autoSpaceDE/>
              <w:autoSpaceDN/>
              <w:bidi w:val="0"/>
              <w:adjustRightInd/>
              <w:snapToGrid/>
              <w:spacing w:line="360" w:lineRule="exact"/>
              <w:ind w:left="210" w:leftChars="100" w:right="0" w:rightChars="0" w:firstLine="0" w:firstLineChars="0"/>
              <w:jc w:val="left"/>
              <w:textAlignment w:val="auto"/>
            </w:pPr>
            <w:r>
              <w:rPr>
                <w:rFonts w:hint="eastAsia" w:ascii="微软雅黑" w:hAnsi="微软雅黑" w:eastAsia="微软雅黑" w:cs="微软雅黑"/>
                <w:sz w:val="21"/>
                <w:szCs w:val="21"/>
                <w:highlight w:val="none"/>
                <w:lang w:val="en-US" w:eastAsia="zh-CN"/>
              </w:rPr>
              <w:t>们共同爱护这片青山绿水，谢谢！</w:t>
            </w:r>
          </w:p>
        </w:tc>
      </w:tr>
    </w:tbl>
    <w:p w14:paraId="28E8D796">
      <w:pPr>
        <w:pStyle w:val="5"/>
        <w:jc w:val="both"/>
        <w:rPr>
          <w:rFonts w:hint="eastAsia" w:ascii="宋体" w:hAnsi="宋体" w:cs="宋体"/>
          <w:kern w:val="0"/>
          <w:sz w:val="18"/>
          <w:szCs w:val="18"/>
          <w:lang w:eastAsia="zh-CN"/>
        </w:rPr>
      </w:pPr>
      <w:r>
        <w:rPr>
          <w:rFonts w:hint="eastAsia" w:ascii="宋体" w:hAnsi="宋体" w:cs="宋体"/>
          <w:kern w:val="0"/>
          <w:sz w:val="18"/>
          <w:szCs w:val="18"/>
          <w:lang w:eastAsia="zh-CN"/>
        </w:rPr>
        <w:br w:type="page"/>
      </w:r>
    </w:p>
    <w:p w14:paraId="1750F910">
      <w:pPr>
        <w:pStyle w:val="5"/>
        <w:jc w:val="both"/>
        <w:rPr>
          <w:rFonts w:hint="eastAsia" w:ascii="宋体" w:hAnsi="宋体" w:cs="宋体"/>
          <w:kern w:val="0"/>
          <w:sz w:val="18"/>
          <w:szCs w:val="18"/>
          <w:lang w:eastAsia="zh-CN"/>
        </w:rPr>
      </w:pPr>
    </w:p>
    <w:p w14:paraId="0C0E5406">
      <w:pPr>
        <w:pStyle w:val="5"/>
        <w:jc w:val="both"/>
        <w:rPr>
          <w:rFonts w:hint="eastAsia"/>
          <w:lang w:eastAsia="zh-CN"/>
        </w:rPr>
      </w:pPr>
      <w:r>
        <w:rPr>
          <w:rFonts w:hint="eastAsia" w:ascii="宋体" w:hAnsi="宋体" w:cs="宋体"/>
          <w:kern w:val="0"/>
          <w:sz w:val="18"/>
          <w:szCs w:val="18"/>
          <w:lang w:eastAsia="zh-CN"/>
        </w:rPr>
        <w:br w:type="page"/>
      </w:r>
    </w:p>
    <w:p w14:paraId="021BB934">
      <w:pPr>
        <w:pStyle w:val="5"/>
        <w:rPr>
          <w:rFonts w:hint="eastAsia"/>
          <w:lang w:eastAsia="zh-CN"/>
        </w:rPr>
      </w:pPr>
    </w:p>
    <w:p w14:paraId="52974FDF">
      <w:pPr>
        <w:pStyle w:val="5"/>
        <w:rPr>
          <w:rFonts w:hint="eastAsia"/>
          <w:lang w:eastAsia="zh-CN"/>
        </w:rPr>
      </w:pPr>
    </w:p>
    <w:p w14:paraId="452C2EAD">
      <w:pPr>
        <w:pStyle w:val="5"/>
        <w:rPr>
          <w:rFonts w:hint="eastAsia"/>
          <w:lang w:eastAsia="zh-CN"/>
        </w:rPr>
      </w:pPr>
    </w:p>
    <w:p w14:paraId="091D033C">
      <w:pPr>
        <w:pStyle w:val="5"/>
        <w:rPr>
          <w:rFonts w:hint="eastAsia"/>
          <w:lang w:eastAsia="zh-CN"/>
        </w:rPr>
      </w:pPr>
    </w:p>
    <w:p w14:paraId="6F30FDB7">
      <w:pPr>
        <w:pStyle w:val="5"/>
        <w:rPr>
          <w:rFonts w:hint="eastAsia"/>
          <w:lang w:eastAsia="zh-CN"/>
        </w:rPr>
      </w:pPr>
    </w:p>
    <w:p w14:paraId="40514529">
      <w:pPr>
        <w:pStyle w:val="5"/>
        <w:rPr>
          <w:rFonts w:hint="eastAsia"/>
          <w:lang w:eastAsia="zh-CN"/>
        </w:rPr>
      </w:pPr>
    </w:p>
    <w:p w14:paraId="11B1A02C">
      <w:pPr>
        <w:pStyle w:val="5"/>
        <w:rPr>
          <w:rFonts w:hint="eastAsia"/>
          <w:lang w:eastAsia="zh-CN"/>
        </w:rPr>
      </w:pPr>
    </w:p>
    <w:p w14:paraId="7E6706FF">
      <w:pPr>
        <w:pStyle w:val="5"/>
        <w:rPr>
          <w:rFonts w:hint="eastAsia"/>
          <w:lang w:eastAsia="zh-CN"/>
        </w:rPr>
      </w:pPr>
    </w:p>
    <w:p w14:paraId="37DEE389">
      <w:pPr>
        <w:pStyle w:val="5"/>
        <w:rPr>
          <w:rFonts w:hint="eastAsia"/>
          <w:lang w:eastAsia="zh-CN"/>
        </w:rPr>
      </w:pPr>
    </w:p>
    <w:p w14:paraId="40A3BF58">
      <w:pPr>
        <w:pStyle w:val="5"/>
        <w:rPr>
          <w:rFonts w:hint="eastAsia"/>
          <w:lang w:eastAsia="zh-CN"/>
        </w:rPr>
      </w:pPr>
    </w:p>
    <w:p w14:paraId="1253C031">
      <w:pPr>
        <w:pStyle w:val="5"/>
        <w:rPr>
          <w:rFonts w:hint="eastAsia"/>
          <w:lang w:eastAsia="zh-CN"/>
        </w:rPr>
      </w:pPr>
    </w:p>
    <w:p w14:paraId="7B1145BA">
      <w:pPr>
        <w:pStyle w:val="5"/>
        <w:rPr>
          <w:rFonts w:hint="eastAsia"/>
          <w:lang w:eastAsia="zh-CN"/>
        </w:rPr>
      </w:pPr>
    </w:p>
    <w:p w14:paraId="0E6931D8">
      <w:pPr>
        <w:pStyle w:val="5"/>
        <w:rPr>
          <w:rFonts w:hint="eastAsia"/>
          <w:lang w:eastAsia="zh-CN"/>
        </w:rPr>
      </w:pPr>
    </w:p>
    <w:p w14:paraId="2AF5EBBA">
      <w:pPr>
        <w:pStyle w:val="5"/>
        <w:rPr>
          <w:rFonts w:hint="eastAsia"/>
          <w:lang w:eastAsia="zh-CN"/>
        </w:rPr>
      </w:pPr>
    </w:p>
    <w:p w14:paraId="20899BB7">
      <w:pPr>
        <w:pStyle w:val="5"/>
        <w:rPr>
          <w:rFonts w:hint="eastAsia"/>
          <w:lang w:eastAsia="zh-CN"/>
        </w:rPr>
      </w:pPr>
    </w:p>
    <w:p w14:paraId="52D69A25">
      <w:pPr>
        <w:pStyle w:val="5"/>
        <w:rPr>
          <w:rFonts w:hint="eastAsia"/>
          <w:lang w:eastAsia="zh-CN"/>
        </w:rPr>
      </w:pPr>
    </w:p>
    <w:p w14:paraId="4D3863AB">
      <w:pPr>
        <w:pStyle w:val="5"/>
        <w:rPr>
          <w:rFonts w:hint="eastAsia"/>
          <w:lang w:eastAsia="zh-CN"/>
        </w:rPr>
      </w:pPr>
    </w:p>
    <w:p w14:paraId="02570A07">
      <w:pPr>
        <w:pStyle w:val="5"/>
        <w:rPr>
          <w:rFonts w:hint="eastAsia"/>
          <w:lang w:eastAsia="zh-CN"/>
        </w:rPr>
      </w:pPr>
    </w:p>
    <w:p w14:paraId="043AD2C3">
      <w:pPr>
        <w:pStyle w:val="5"/>
        <w:rPr>
          <w:rFonts w:hint="eastAsia"/>
          <w:lang w:eastAsia="zh-CN"/>
        </w:rPr>
      </w:pPr>
    </w:p>
    <w:p w14:paraId="392E789F">
      <w:pPr>
        <w:pStyle w:val="5"/>
        <w:rPr>
          <w:rFonts w:hint="eastAsia"/>
          <w:lang w:eastAsia="zh-CN"/>
        </w:rPr>
      </w:pPr>
    </w:p>
    <w:p w14:paraId="34B70816">
      <w:pPr>
        <w:pStyle w:val="5"/>
        <w:rPr>
          <w:rFonts w:hint="eastAsia"/>
          <w:lang w:eastAsia="zh-CN"/>
        </w:rPr>
      </w:pPr>
    </w:p>
    <w:p w14:paraId="64AE3B44">
      <w:pPr>
        <w:pStyle w:val="5"/>
        <w:rPr>
          <w:rFonts w:hint="eastAsia"/>
          <w:lang w:eastAsia="zh-CN"/>
        </w:rPr>
      </w:pPr>
    </w:p>
    <w:p w14:paraId="3F0B2868">
      <w:pPr>
        <w:pStyle w:val="5"/>
        <w:rPr>
          <w:rFonts w:hint="eastAsia"/>
          <w:lang w:eastAsia="zh-CN"/>
        </w:rPr>
      </w:pPr>
    </w:p>
    <w:p w14:paraId="5D09D843">
      <w:pPr>
        <w:pStyle w:val="5"/>
        <w:rPr>
          <w:rFonts w:hint="eastAsia"/>
          <w:lang w:eastAsia="zh-CN"/>
        </w:rPr>
      </w:pPr>
    </w:p>
    <w:p w14:paraId="20D020FA">
      <w:pPr>
        <w:pStyle w:val="5"/>
        <w:rPr>
          <w:rFonts w:hint="eastAsia"/>
          <w:lang w:eastAsia="zh-CN"/>
        </w:rPr>
      </w:pPr>
    </w:p>
    <w:p w14:paraId="56705B4A">
      <w:pPr>
        <w:pStyle w:val="5"/>
        <w:rPr>
          <w:rFonts w:hint="eastAsia"/>
          <w:lang w:eastAsia="zh-CN"/>
        </w:rPr>
      </w:pPr>
    </w:p>
    <w:p w14:paraId="00E06752">
      <w:pPr>
        <w:pStyle w:val="5"/>
        <w:rPr>
          <w:rFonts w:hint="eastAsia"/>
          <w:lang w:eastAsia="zh-CN"/>
        </w:rPr>
      </w:pPr>
    </w:p>
    <w:p w14:paraId="647B8362">
      <w:pPr>
        <w:pStyle w:val="5"/>
        <w:rPr>
          <w:rFonts w:hint="eastAsia"/>
          <w:lang w:eastAsia="zh-CN"/>
        </w:rPr>
      </w:pPr>
    </w:p>
    <w:p w14:paraId="19F802B7">
      <w:pPr>
        <w:pStyle w:val="5"/>
        <w:rPr>
          <w:rFonts w:hint="eastAsia"/>
          <w:lang w:eastAsia="zh-CN"/>
        </w:rPr>
      </w:pPr>
    </w:p>
    <w:p w14:paraId="69C1B374">
      <w:pPr>
        <w:pStyle w:val="5"/>
        <w:rPr>
          <w:rFonts w:hint="eastAsia"/>
          <w:lang w:eastAsia="zh-CN"/>
        </w:rPr>
      </w:pPr>
    </w:p>
    <w:p w14:paraId="28F1D11A">
      <w:pPr>
        <w:pStyle w:val="5"/>
        <w:rPr>
          <w:rFonts w:hint="eastAsia"/>
          <w:lang w:eastAsia="zh-CN"/>
        </w:rPr>
      </w:pPr>
    </w:p>
    <w:p w14:paraId="355F34C3">
      <w:pPr>
        <w:pStyle w:val="5"/>
        <w:rPr>
          <w:rFonts w:hint="eastAsia"/>
          <w:lang w:eastAsia="zh-CN"/>
        </w:rPr>
      </w:pPr>
    </w:p>
    <w:p w14:paraId="6FAAAA04">
      <w:pPr>
        <w:pStyle w:val="5"/>
        <w:rPr>
          <w:rFonts w:hint="eastAsia"/>
          <w:lang w:eastAsia="zh-CN"/>
        </w:rPr>
      </w:pPr>
    </w:p>
    <w:p w14:paraId="46FFFEE6">
      <w:pPr>
        <w:pStyle w:val="5"/>
        <w:rPr>
          <w:rFonts w:hint="eastAsia"/>
          <w:lang w:eastAsia="zh-CN"/>
        </w:rPr>
      </w:pPr>
    </w:p>
    <w:p w14:paraId="668C6021">
      <w:pPr>
        <w:pStyle w:val="5"/>
        <w:rPr>
          <w:rFonts w:hint="eastAsia"/>
          <w:lang w:eastAsia="zh-CN"/>
        </w:rPr>
      </w:pPr>
    </w:p>
    <w:p w14:paraId="20548851">
      <w:pPr>
        <w:pStyle w:val="5"/>
        <w:rPr>
          <w:rFonts w:hint="eastAsia"/>
          <w:lang w:eastAsia="zh-CN"/>
        </w:rPr>
      </w:pPr>
    </w:p>
    <w:p w14:paraId="12ECAD4F">
      <w:pPr>
        <w:pStyle w:val="5"/>
        <w:rPr>
          <w:rFonts w:hint="eastAsia"/>
          <w:lang w:eastAsia="zh-CN"/>
        </w:rPr>
      </w:pPr>
    </w:p>
    <w:p w14:paraId="59F33143">
      <w:pPr>
        <w:pStyle w:val="5"/>
        <w:rPr>
          <w:rFonts w:hint="eastAsia"/>
          <w:lang w:eastAsia="zh-CN"/>
        </w:rPr>
      </w:pPr>
    </w:p>
    <w:p w14:paraId="2BCA2534">
      <w:pPr>
        <w:pStyle w:val="5"/>
        <w:rPr>
          <w:rFonts w:hint="eastAsia"/>
          <w:lang w:eastAsia="zh-CN"/>
        </w:rPr>
      </w:pPr>
    </w:p>
    <w:p w14:paraId="4421FC27">
      <w:pPr>
        <w:pStyle w:val="5"/>
        <w:rPr>
          <w:rFonts w:hint="eastAsia"/>
          <w:lang w:eastAsia="zh-CN"/>
        </w:rPr>
      </w:pPr>
    </w:p>
    <w:p w14:paraId="644144EA">
      <w:pPr>
        <w:pStyle w:val="5"/>
        <w:rPr>
          <w:rFonts w:hint="eastAsia"/>
          <w:lang w:eastAsia="zh-CN"/>
        </w:rPr>
      </w:pPr>
    </w:p>
    <w:p w14:paraId="22D13A37">
      <w:pPr>
        <w:pStyle w:val="5"/>
        <w:rPr>
          <w:rFonts w:hint="eastAsia"/>
          <w:lang w:eastAsia="zh-CN"/>
        </w:rPr>
      </w:pPr>
    </w:p>
    <w:p w14:paraId="56B872DA">
      <w:pPr>
        <w:pStyle w:val="5"/>
        <w:rPr>
          <w:rFonts w:hint="eastAsia"/>
          <w:lang w:eastAsia="zh-CN"/>
        </w:rPr>
      </w:pPr>
    </w:p>
    <w:p w14:paraId="1D5DB8D0">
      <w:pPr>
        <w:pStyle w:val="5"/>
        <w:rPr>
          <w:rFonts w:hint="eastAsia"/>
          <w:lang w:eastAsia="zh-CN"/>
        </w:rPr>
      </w:pPr>
    </w:p>
    <w:p w14:paraId="05C8BFD3">
      <w:pPr>
        <w:pStyle w:val="5"/>
        <w:rPr>
          <w:rFonts w:hint="eastAsia"/>
          <w:lang w:eastAsia="zh-CN"/>
        </w:rPr>
      </w:pPr>
    </w:p>
    <w:p w14:paraId="07666DC3">
      <w:pPr>
        <w:pStyle w:val="5"/>
        <w:rPr>
          <w:rFonts w:hint="eastAsia"/>
          <w:lang w:eastAsia="zh-CN"/>
        </w:rPr>
      </w:pPr>
    </w:p>
    <w:p w14:paraId="5D74FCC0">
      <w:pPr>
        <w:pStyle w:val="5"/>
        <w:rPr>
          <w:rFonts w:hint="eastAsia"/>
          <w:lang w:eastAsia="zh-CN"/>
        </w:rPr>
      </w:pPr>
    </w:p>
    <w:p w14:paraId="08594F45">
      <w:pPr>
        <w:pStyle w:val="5"/>
        <w:rPr>
          <w:rFonts w:hint="eastAsia"/>
          <w:lang w:eastAsia="zh-CN"/>
        </w:rPr>
      </w:pPr>
    </w:p>
    <w:p w14:paraId="4725C82D">
      <w:pPr>
        <w:pStyle w:val="5"/>
        <w:rPr>
          <w:rFonts w:hint="eastAsia"/>
          <w:lang w:eastAsia="zh-CN"/>
        </w:rPr>
      </w:pPr>
    </w:p>
    <w:p w14:paraId="69E037F9">
      <w:pPr>
        <w:pStyle w:val="5"/>
        <w:rPr>
          <w:rFonts w:hint="eastAsia"/>
          <w:lang w:eastAsia="zh-CN"/>
        </w:rPr>
      </w:pPr>
    </w:p>
    <w:sectPr>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BA8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0C19">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A0D72"/>
    <w:multiLevelType w:val="singleLevel"/>
    <w:tmpl w:val="531A0D7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GM0YjZhOGM1MjdhNWMzMDcyZmMyNGZhODkxNjM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32D0FCD"/>
    <w:rsid w:val="03343D40"/>
    <w:rsid w:val="034E7440"/>
    <w:rsid w:val="0378130B"/>
    <w:rsid w:val="037B7F1C"/>
    <w:rsid w:val="03A87411"/>
    <w:rsid w:val="05077321"/>
    <w:rsid w:val="05BB103F"/>
    <w:rsid w:val="05C8291B"/>
    <w:rsid w:val="05EB75A5"/>
    <w:rsid w:val="06BA3154"/>
    <w:rsid w:val="06C8688F"/>
    <w:rsid w:val="06D25850"/>
    <w:rsid w:val="0704296D"/>
    <w:rsid w:val="07065FA9"/>
    <w:rsid w:val="07134710"/>
    <w:rsid w:val="072C1A93"/>
    <w:rsid w:val="073B1CE0"/>
    <w:rsid w:val="07723FAA"/>
    <w:rsid w:val="07D30491"/>
    <w:rsid w:val="07E9375F"/>
    <w:rsid w:val="080639DA"/>
    <w:rsid w:val="08863B53"/>
    <w:rsid w:val="089B2EF1"/>
    <w:rsid w:val="08E5797A"/>
    <w:rsid w:val="091D389B"/>
    <w:rsid w:val="09337B5B"/>
    <w:rsid w:val="09420551"/>
    <w:rsid w:val="098442F1"/>
    <w:rsid w:val="09C35CEF"/>
    <w:rsid w:val="09D10E6F"/>
    <w:rsid w:val="09E225A5"/>
    <w:rsid w:val="09F65C36"/>
    <w:rsid w:val="09FB503E"/>
    <w:rsid w:val="0A735171"/>
    <w:rsid w:val="0A8473AE"/>
    <w:rsid w:val="0A9760CA"/>
    <w:rsid w:val="0AA66FB7"/>
    <w:rsid w:val="0AB416DB"/>
    <w:rsid w:val="0B4A3C17"/>
    <w:rsid w:val="0B7C24E7"/>
    <w:rsid w:val="0B7F3A6A"/>
    <w:rsid w:val="0B9B10B5"/>
    <w:rsid w:val="0BE83537"/>
    <w:rsid w:val="0BF25217"/>
    <w:rsid w:val="0BFF7C55"/>
    <w:rsid w:val="0C096925"/>
    <w:rsid w:val="0C450D6C"/>
    <w:rsid w:val="0C6F3428"/>
    <w:rsid w:val="0C7E69E5"/>
    <w:rsid w:val="0CE63B48"/>
    <w:rsid w:val="0D5F66AE"/>
    <w:rsid w:val="0D6C10EE"/>
    <w:rsid w:val="0DC9323A"/>
    <w:rsid w:val="0E4949A1"/>
    <w:rsid w:val="0E850379"/>
    <w:rsid w:val="0EDC68F7"/>
    <w:rsid w:val="0EF273CF"/>
    <w:rsid w:val="10F16AE3"/>
    <w:rsid w:val="11013641"/>
    <w:rsid w:val="110513E7"/>
    <w:rsid w:val="11427B0D"/>
    <w:rsid w:val="11B34360"/>
    <w:rsid w:val="12361B78"/>
    <w:rsid w:val="12B24EBE"/>
    <w:rsid w:val="12EF0A4F"/>
    <w:rsid w:val="13371388"/>
    <w:rsid w:val="136A4169"/>
    <w:rsid w:val="13D501CD"/>
    <w:rsid w:val="13EC55EC"/>
    <w:rsid w:val="13F66591"/>
    <w:rsid w:val="14321F2A"/>
    <w:rsid w:val="143C7B63"/>
    <w:rsid w:val="14D81E33"/>
    <w:rsid w:val="150D1EBE"/>
    <w:rsid w:val="15B0279D"/>
    <w:rsid w:val="15B36F61"/>
    <w:rsid w:val="15D42860"/>
    <w:rsid w:val="15FF7837"/>
    <w:rsid w:val="16960D6D"/>
    <w:rsid w:val="16F7733F"/>
    <w:rsid w:val="17222925"/>
    <w:rsid w:val="17A77194"/>
    <w:rsid w:val="17AB7D29"/>
    <w:rsid w:val="17AE51C3"/>
    <w:rsid w:val="17AF7A04"/>
    <w:rsid w:val="183B6DAB"/>
    <w:rsid w:val="189A56D0"/>
    <w:rsid w:val="18BC4164"/>
    <w:rsid w:val="19F63A29"/>
    <w:rsid w:val="1A066980"/>
    <w:rsid w:val="1A371E92"/>
    <w:rsid w:val="1A4B1305"/>
    <w:rsid w:val="1B3C32B9"/>
    <w:rsid w:val="1B4A6010"/>
    <w:rsid w:val="1BA04EFC"/>
    <w:rsid w:val="1C4C0D55"/>
    <w:rsid w:val="1C4E38DD"/>
    <w:rsid w:val="1CA647A6"/>
    <w:rsid w:val="1CA66D5E"/>
    <w:rsid w:val="1CED73D2"/>
    <w:rsid w:val="1D5C01C9"/>
    <w:rsid w:val="1E3501C4"/>
    <w:rsid w:val="1E841FFE"/>
    <w:rsid w:val="1F246147"/>
    <w:rsid w:val="1F4D65B6"/>
    <w:rsid w:val="1FBC28E0"/>
    <w:rsid w:val="200F7270"/>
    <w:rsid w:val="205B6E3B"/>
    <w:rsid w:val="20C45EF0"/>
    <w:rsid w:val="21B76F72"/>
    <w:rsid w:val="22233137"/>
    <w:rsid w:val="22464DDD"/>
    <w:rsid w:val="22586EEA"/>
    <w:rsid w:val="22840166"/>
    <w:rsid w:val="22E744D4"/>
    <w:rsid w:val="23D5466C"/>
    <w:rsid w:val="23E40D09"/>
    <w:rsid w:val="24880373"/>
    <w:rsid w:val="257A557F"/>
    <w:rsid w:val="25986633"/>
    <w:rsid w:val="259A25D7"/>
    <w:rsid w:val="26A435E6"/>
    <w:rsid w:val="27026F8E"/>
    <w:rsid w:val="27914A0E"/>
    <w:rsid w:val="27A537A4"/>
    <w:rsid w:val="27AE5018"/>
    <w:rsid w:val="27DB3EDB"/>
    <w:rsid w:val="27F33DF7"/>
    <w:rsid w:val="28245521"/>
    <w:rsid w:val="283D5649"/>
    <w:rsid w:val="28692F0F"/>
    <w:rsid w:val="28DE2432"/>
    <w:rsid w:val="28E53D4A"/>
    <w:rsid w:val="29112363"/>
    <w:rsid w:val="295469FF"/>
    <w:rsid w:val="29607497"/>
    <w:rsid w:val="29991642"/>
    <w:rsid w:val="29AC104D"/>
    <w:rsid w:val="29BC1CC6"/>
    <w:rsid w:val="29D013B1"/>
    <w:rsid w:val="29ED0967"/>
    <w:rsid w:val="2A397D52"/>
    <w:rsid w:val="2A4B564D"/>
    <w:rsid w:val="2BAB2B4A"/>
    <w:rsid w:val="2BF57730"/>
    <w:rsid w:val="2C493A17"/>
    <w:rsid w:val="2CB96718"/>
    <w:rsid w:val="2CF439DB"/>
    <w:rsid w:val="2D234CF5"/>
    <w:rsid w:val="2D3B0A92"/>
    <w:rsid w:val="2DC860A6"/>
    <w:rsid w:val="2DF67CC1"/>
    <w:rsid w:val="2EC75720"/>
    <w:rsid w:val="2EDE4234"/>
    <w:rsid w:val="2EE948D6"/>
    <w:rsid w:val="2EF53261"/>
    <w:rsid w:val="2F046E1E"/>
    <w:rsid w:val="2F357C66"/>
    <w:rsid w:val="2F4F4441"/>
    <w:rsid w:val="2FE11772"/>
    <w:rsid w:val="30BA4CEE"/>
    <w:rsid w:val="30DF0305"/>
    <w:rsid w:val="3143321D"/>
    <w:rsid w:val="315D7DA4"/>
    <w:rsid w:val="31646571"/>
    <w:rsid w:val="319A0FE4"/>
    <w:rsid w:val="31F10857"/>
    <w:rsid w:val="321C2BAF"/>
    <w:rsid w:val="32A3555E"/>
    <w:rsid w:val="32C2475E"/>
    <w:rsid w:val="331B16C0"/>
    <w:rsid w:val="33261046"/>
    <w:rsid w:val="33963A1E"/>
    <w:rsid w:val="33DD2C4D"/>
    <w:rsid w:val="33FC4F3D"/>
    <w:rsid w:val="342E081E"/>
    <w:rsid w:val="34B53D5F"/>
    <w:rsid w:val="358C22F5"/>
    <w:rsid w:val="35ED3501"/>
    <w:rsid w:val="36276C4F"/>
    <w:rsid w:val="371B773A"/>
    <w:rsid w:val="37305A51"/>
    <w:rsid w:val="37FA789F"/>
    <w:rsid w:val="37FF748C"/>
    <w:rsid w:val="381F242D"/>
    <w:rsid w:val="3901371D"/>
    <w:rsid w:val="39B44CE2"/>
    <w:rsid w:val="39ED3ED1"/>
    <w:rsid w:val="39F0079F"/>
    <w:rsid w:val="3A9665B5"/>
    <w:rsid w:val="3AB309C7"/>
    <w:rsid w:val="3B4B164C"/>
    <w:rsid w:val="3B594864"/>
    <w:rsid w:val="3C0C0AA1"/>
    <w:rsid w:val="3C164A8D"/>
    <w:rsid w:val="3C4D011D"/>
    <w:rsid w:val="3C5710E9"/>
    <w:rsid w:val="3CB7466E"/>
    <w:rsid w:val="3DE874B5"/>
    <w:rsid w:val="3E6413E1"/>
    <w:rsid w:val="3F1E55F3"/>
    <w:rsid w:val="3F440007"/>
    <w:rsid w:val="3F711169"/>
    <w:rsid w:val="3F895B21"/>
    <w:rsid w:val="3F91625E"/>
    <w:rsid w:val="3FC93043"/>
    <w:rsid w:val="406B3968"/>
    <w:rsid w:val="409E00B9"/>
    <w:rsid w:val="40B04456"/>
    <w:rsid w:val="40FB5581"/>
    <w:rsid w:val="4119604E"/>
    <w:rsid w:val="42090DDA"/>
    <w:rsid w:val="4226335B"/>
    <w:rsid w:val="42601C60"/>
    <w:rsid w:val="428E46BB"/>
    <w:rsid w:val="429152B6"/>
    <w:rsid w:val="429945EC"/>
    <w:rsid w:val="43170206"/>
    <w:rsid w:val="43B6787E"/>
    <w:rsid w:val="43C51CEE"/>
    <w:rsid w:val="43D93497"/>
    <w:rsid w:val="449414B5"/>
    <w:rsid w:val="44C256D2"/>
    <w:rsid w:val="45295867"/>
    <w:rsid w:val="459840BF"/>
    <w:rsid w:val="45EB289C"/>
    <w:rsid w:val="460401AE"/>
    <w:rsid w:val="46335606"/>
    <w:rsid w:val="46454B73"/>
    <w:rsid w:val="46486737"/>
    <w:rsid w:val="46A00465"/>
    <w:rsid w:val="46AF4B3B"/>
    <w:rsid w:val="4762127A"/>
    <w:rsid w:val="47830661"/>
    <w:rsid w:val="47E8112C"/>
    <w:rsid w:val="47EA5D88"/>
    <w:rsid w:val="4836317F"/>
    <w:rsid w:val="487842FA"/>
    <w:rsid w:val="48B6105C"/>
    <w:rsid w:val="48E63442"/>
    <w:rsid w:val="4976505A"/>
    <w:rsid w:val="49ED548C"/>
    <w:rsid w:val="4A4A4481"/>
    <w:rsid w:val="4B711B74"/>
    <w:rsid w:val="4C1001BF"/>
    <w:rsid w:val="4C212059"/>
    <w:rsid w:val="4C713118"/>
    <w:rsid w:val="4C813A93"/>
    <w:rsid w:val="4C887A2D"/>
    <w:rsid w:val="4CB521FE"/>
    <w:rsid w:val="4CD27DE8"/>
    <w:rsid w:val="4CDB3060"/>
    <w:rsid w:val="4CF0081A"/>
    <w:rsid w:val="4D1C581A"/>
    <w:rsid w:val="4D576E1A"/>
    <w:rsid w:val="4D5D122C"/>
    <w:rsid w:val="4D832CE2"/>
    <w:rsid w:val="4DC834CB"/>
    <w:rsid w:val="4ED93AEE"/>
    <w:rsid w:val="4F0202B4"/>
    <w:rsid w:val="4F2D45BF"/>
    <w:rsid w:val="4F3802E4"/>
    <w:rsid w:val="4F5F5742"/>
    <w:rsid w:val="4FA02EC7"/>
    <w:rsid w:val="508D440A"/>
    <w:rsid w:val="5103733B"/>
    <w:rsid w:val="511E308E"/>
    <w:rsid w:val="51217D24"/>
    <w:rsid w:val="51560851"/>
    <w:rsid w:val="523C2D3F"/>
    <w:rsid w:val="52992947"/>
    <w:rsid w:val="52D7336D"/>
    <w:rsid w:val="52F03774"/>
    <w:rsid w:val="538B0C1D"/>
    <w:rsid w:val="53C84C9E"/>
    <w:rsid w:val="54027369"/>
    <w:rsid w:val="540602EE"/>
    <w:rsid w:val="54C97A24"/>
    <w:rsid w:val="54EC6085"/>
    <w:rsid w:val="551A3EF8"/>
    <w:rsid w:val="55CF021E"/>
    <w:rsid w:val="55D93D68"/>
    <w:rsid w:val="561720BD"/>
    <w:rsid w:val="56405548"/>
    <w:rsid w:val="56511950"/>
    <w:rsid w:val="56693A34"/>
    <w:rsid w:val="56891D8F"/>
    <w:rsid w:val="56C02F6A"/>
    <w:rsid w:val="56EA6CD1"/>
    <w:rsid w:val="570D43E2"/>
    <w:rsid w:val="57C31B98"/>
    <w:rsid w:val="580C3794"/>
    <w:rsid w:val="58744AC1"/>
    <w:rsid w:val="58B61A9D"/>
    <w:rsid w:val="58C33C5A"/>
    <w:rsid w:val="58CC3EAD"/>
    <w:rsid w:val="58F12E9E"/>
    <w:rsid w:val="595B4007"/>
    <w:rsid w:val="59AC2042"/>
    <w:rsid w:val="59DF74B6"/>
    <w:rsid w:val="5A596CA5"/>
    <w:rsid w:val="5A6C3FFA"/>
    <w:rsid w:val="5A71367A"/>
    <w:rsid w:val="5B1B1D9F"/>
    <w:rsid w:val="5B312324"/>
    <w:rsid w:val="5B813524"/>
    <w:rsid w:val="5BA15B7C"/>
    <w:rsid w:val="5BAA265C"/>
    <w:rsid w:val="5BB1219F"/>
    <w:rsid w:val="5BF37E5F"/>
    <w:rsid w:val="5BFF4980"/>
    <w:rsid w:val="5C582767"/>
    <w:rsid w:val="5C6A2449"/>
    <w:rsid w:val="5D343E68"/>
    <w:rsid w:val="5D395EF9"/>
    <w:rsid w:val="5D460992"/>
    <w:rsid w:val="5DD4636B"/>
    <w:rsid w:val="5EA17CC3"/>
    <w:rsid w:val="5EAF3E6C"/>
    <w:rsid w:val="5F3B0C4C"/>
    <w:rsid w:val="5F744E64"/>
    <w:rsid w:val="5FA76558"/>
    <w:rsid w:val="6018347B"/>
    <w:rsid w:val="60C73DE5"/>
    <w:rsid w:val="60EA73D6"/>
    <w:rsid w:val="6133198D"/>
    <w:rsid w:val="617E0AF8"/>
    <w:rsid w:val="619304B3"/>
    <w:rsid w:val="61B57C03"/>
    <w:rsid w:val="63006B79"/>
    <w:rsid w:val="63600E30"/>
    <w:rsid w:val="637C1DF3"/>
    <w:rsid w:val="63CF6347"/>
    <w:rsid w:val="63D342E8"/>
    <w:rsid w:val="640D5BAD"/>
    <w:rsid w:val="642C1302"/>
    <w:rsid w:val="65AE41C1"/>
    <w:rsid w:val="65B95839"/>
    <w:rsid w:val="65CB7234"/>
    <w:rsid w:val="65DC23AC"/>
    <w:rsid w:val="664D50DC"/>
    <w:rsid w:val="66935810"/>
    <w:rsid w:val="669D3B0F"/>
    <w:rsid w:val="66AC566C"/>
    <w:rsid w:val="66D4745F"/>
    <w:rsid w:val="672E5BEB"/>
    <w:rsid w:val="677F50DB"/>
    <w:rsid w:val="678A07EE"/>
    <w:rsid w:val="67A4786A"/>
    <w:rsid w:val="67B67376"/>
    <w:rsid w:val="67D51DFD"/>
    <w:rsid w:val="688B5C95"/>
    <w:rsid w:val="68FA48D7"/>
    <w:rsid w:val="691335F2"/>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F20013B"/>
    <w:rsid w:val="6FCC47C8"/>
    <w:rsid w:val="71D37635"/>
    <w:rsid w:val="722A21C5"/>
    <w:rsid w:val="72BC780D"/>
    <w:rsid w:val="72C62AA1"/>
    <w:rsid w:val="72C75081"/>
    <w:rsid w:val="72F851A0"/>
    <w:rsid w:val="73195863"/>
    <w:rsid w:val="73CE3E28"/>
    <w:rsid w:val="743D4317"/>
    <w:rsid w:val="74AB13BB"/>
    <w:rsid w:val="74DD4D17"/>
    <w:rsid w:val="74EE6EA4"/>
    <w:rsid w:val="74F77E11"/>
    <w:rsid w:val="75242E64"/>
    <w:rsid w:val="753627B5"/>
    <w:rsid w:val="753D37FC"/>
    <w:rsid w:val="76290CF7"/>
    <w:rsid w:val="768F7938"/>
    <w:rsid w:val="76A13980"/>
    <w:rsid w:val="76F0652C"/>
    <w:rsid w:val="76F7344E"/>
    <w:rsid w:val="770F58C0"/>
    <w:rsid w:val="77221663"/>
    <w:rsid w:val="77531EB4"/>
    <w:rsid w:val="777E2193"/>
    <w:rsid w:val="77E57235"/>
    <w:rsid w:val="78075142"/>
    <w:rsid w:val="782C529D"/>
    <w:rsid w:val="78E8447A"/>
    <w:rsid w:val="78F35532"/>
    <w:rsid w:val="792B2D90"/>
    <w:rsid w:val="795839D1"/>
    <w:rsid w:val="79600CBC"/>
    <w:rsid w:val="798B5156"/>
    <w:rsid w:val="799176AF"/>
    <w:rsid w:val="7A1D49F4"/>
    <w:rsid w:val="7B2A1EE8"/>
    <w:rsid w:val="7BDE4262"/>
    <w:rsid w:val="7D027BEA"/>
    <w:rsid w:val="7D2F4E8F"/>
    <w:rsid w:val="7D5B2135"/>
    <w:rsid w:val="7D7A3790"/>
    <w:rsid w:val="7D7E5EC1"/>
    <w:rsid w:val="7DA66CC3"/>
    <w:rsid w:val="7DB0236B"/>
    <w:rsid w:val="7DDF7215"/>
    <w:rsid w:val="7E2A7DC1"/>
    <w:rsid w:val="7E4273F9"/>
    <w:rsid w:val="7E89785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sz w:val="21"/>
      <w:szCs w:val="20"/>
      <w:u w:val="single"/>
    </w:rPr>
  </w:style>
  <w:style w:type="paragraph" w:customStyle="1" w:styleId="14">
    <w:name w:val="Table Paragraph"/>
    <w:basedOn w:val="1"/>
    <w:qFormat/>
    <w:uiPriority w:val="1"/>
    <w:pPr>
      <w:ind w:left="108"/>
    </w:pPr>
    <w:rPr>
      <w:rFonts w:ascii="微软雅黑" w:hAnsi="微软雅黑" w:eastAsia="微软雅黑" w:cs="微软雅黑"/>
      <w:lang w:val="zh-CN" w:bidi="zh-CN"/>
    </w:rPr>
  </w:style>
  <w:style w:type="character" w:customStyle="1" w:styleId="15">
    <w:name w:val="NormalCharacter"/>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qFormat/>
    <w:uiPriority w:val="0"/>
    <w:rPr>
      <w:rFonts w:ascii="Calibri" w:hAnsi="Calibri"/>
      <w:kern w:val="2"/>
      <w:sz w:val="18"/>
      <w:szCs w:val="18"/>
    </w:rPr>
  </w:style>
  <w:style w:type="character" w:customStyle="1" w:styleId="17">
    <w:name w:val="无"/>
    <w:basedOn w:val="12"/>
    <w:qFormat/>
    <w:uiPriority w:val="0"/>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4839</Words>
  <Characters>4926</Characters>
  <Lines>41</Lines>
  <Paragraphs>11</Paragraphs>
  <TotalTime>11</TotalTime>
  <ScaleCrop>false</ScaleCrop>
  <LinksUpToDate>false</LinksUpToDate>
  <CharactersWithSpaces>5212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2025-06-13T09:31:00Z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RubyTemplateID">
    <vt:lpwstr>6</vt:lpwstr>
  </property>
  <property fmtid="{D5CDD505-2E9C-101B-9397-08002B2CF9AE}" pid="4" name="ICV">
    <vt:lpwstr>2EFFE06175AF47989DF2DF995F0BCC80_13</vt:lpwstr>
  </property>
  <property fmtid="{D5CDD505-2E9C-101B-9397-08002B2CF9AE}" pid="5" name="KSOTemplateDocerSaveRecord">
    <vt:lpwstr>eyJoZGlkIjoiODk1MzQxZjRiYmE1M2VkZTBiMTFmNTU0NzAyNTY1MDQiLCJ1c2VySWQiOiIyODEyNzY2NDcifQ==</vt:lpwstr>
  </property>
</Properties>
</file>