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D3BCE59">
      <w:pPr>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-208915</wp:posOffset>
            </wp:positionH>
            <wp:positionV relativeFrom="paragraph">
              <wp:posOffset>-395605</wp:posOffset>
            </wp:positionV>
            <wp:extent cx="7559675" cy="10694670"/>
            <wp:effectExtent l="0" t="0" r="3175" b="11430"/>
            <wp:wrapNone/>
            <wp:docPr id="6" name="图片 6" descr="6db10853807349c1a4cf08d3da49c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b10853807349c1a4cf08d3da49ce66"/>
                    <pic:cNvPicPr>
                      <a:picLocks noChangeAspect="1"/>
                    </pic:cNvPicPr>
                  </pic:nvPicPr>
                  <pic:blipFill>
                    <a:blip r:embed="rId7"/>
                    <a:srcRect b="9116"/>
                    <a:stretch>
                      <a:fillRect/>
                    </a:stretch>
                  </pic:blipFill>
                  <pic:spPr>
                    <a:xfrm>
                      <a:off x="0" y="0"/>
                      <a:ext cx="7559675" cy="10694670"/>
                    </a:xfrm>
                    <a:prstGeom prst="rect">
                      <a:avLst/>
                    </a:prstGeom>
                  </pic:spPr>
                </pic:pic>
              </a:graphicData>
            </a:graphic>
          </wp:anchor>
        </w:drawing>
      </w:r>
      <w:r>
        <w:rPr>
          <w:rFonts w:hint="eastAsia"/>
          <w:lang w:eastAsia="zh-CN"/>
        </w:rPr>
        <w:br w:type="page"/>
      </w:r>
      <w:r>
        <w:rPr>
          <w:rFonts w:hint="eastAsia"/>
          <w:lang w:eastAsia="zh-CN"/>
        </w:rPr>
        <w:drawing>
          <wp:anchor distT="0" distB="0" distL="114300" distR="114300" simplePos="0" relativeHeight="251663360" behindDoc="0" locked="0" layoutInCell="1" allowOverlap="1">
            <wp:simplePos x="0" y="0"/>
            <wp:positionH relativeFrom="column">
              <wp:posOffset>-208915</wp:posOffset>
            </wp:positionH>
            <wp:positionV relativeFrom="paragraph">
              <wp:posOffset>-384810</wp:posOffset>
            </wp:positionV>
            <wp:extent cx="7545070" cy="10688955"/>
            <wp:effectExtent l="0" t="0" r="17780" b="17145"/>
            <wp:wrapNone/>
            <wp:docPr id="2" name="图片 2" descr="详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详情1"/>
                    <pic:cNvPicPr>
                      <a:picLocks noChangeAspect="1"/>
                    </pic:cNvPicPr>
                  </pic:nvPicPr>
                  <pic:blipFill>
                    <a:blip r:embed="rId8"/>
                    <a:stretch>
                      <a:fillRect/>
                    </a:stretch>
                  </pic:blipFill>
                  <pic:spPr>
                    <a:xfrm>
                      <a:off x="0" y="0"/>
                      <a:ext cx="7545070" cy="10688955"/>
                    </a:xfrm>
                    <a:prstGeom prst="rect">
                      <a:avLst/>
                    </a:prstGeom>
                  </pic:spPr>
                </pic:pic>
              </a:graphicData>
            </a:graphic>
          </wp:anchor>
        </w:drawing>
      </w:r>
      <w:r>
        <w:rPr>
          <w:rFonts w:hint="eastAsia"/>
          <w:lang w:eastAsia="zh-CN"/>
        </w:rPr>
        <w:br w:type="page"/>
      </w:r>
    </w:p>
    <w:p w14:paraId="4B229FF9">
      <w:pPr>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-189865</wp:posOffset>
            </wp:positionH>
            <wp:positionV relativeFrom="paragraph">
              <wp:posOffset>-364490</wp:posOffset>
            </wp:positionV>
            <wp:extent cx="7543165" cy="10687050"/>
            <wp:effectExtent l="0" t="0" r="635" b="0"/>
            <wp:wrapNone/>
            <wp:docPr id="3" name="图片 3" descr="详情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详情2(1)"/>
                    <pic:cNvPicPr>
                      <a:picLocks noChangeAspect="1"/>
                    </pic:cNvPicPr>
                  </pic:nvPicPr>
                  <pic:blipFill>
                    <a:blip r:embed="rId9"/>
                    <a:stretch>
                      <a:fillRect/>
                    </a:stretch>
                  </pic:blipFill>
                  <pic:spPr>
                    <a:xfrm>
                      <a:off x="0" y="0"/>
                      <a:ext cx="7543165" cy="10687050"/>
                    </a:xfrm>
                    <a:prstGeom prst="rect">
                      <a:avLst/>
                    </a:prstGeom>
                  </pic:spPr>
                </pic:pic>
              </a:graphicData>
            </a:graphic>
          </wp:anchor>
        </w:drawing>
      </w:r>
    </w:p>
    <w:p w14:paraId="4DB33E19">
      <w:pPr>
        <w:rPr>
          <w:rFonts w:hint="eastAsia"/>
          <w:lang w:eastAsia="zh-CN"/>
        </w:rPr>
      </w:pPr>
    </w:p>
    <w:p w14:paraId="11F3D5C6">
      <w:pPr>
        <w:rPr>
          <w:rFonts w:hint="eastAsia"/>
          <w:lang w:eastAsia="zh-CN"/>
        </w:rPr>
      </w:pPr>
      <w:r>
        <w:rPr>
          <w:rFonts w:hint="eastAsia"/>
          <w:lang w:eastAsia="zh-CN"/>
        </w:rPr>
        <w:br w:type="page"/>
      </w:r>
      <w:r>
        <w:rPr>
          <w:rFonts w:hint="eastAsia"/>
          <w:lang w:eastAsia="zh-CN"/>
        </w:rPr>
        <w:drawing>
          <wp:anchor distT="0" distB="0" distL="114300" distR="114300" simplePos="0" relativeHeight="251664384" behindDoc="0" locked="0" layoutInCell="1" allowOverlap="1">
            <wp:simplePos x="0" y="0"/>
            <wp:positionH relativeFrom="column">
              <wp:posOffset>-199390</wp:posOffset>
            </wp:positionH>
            <wp:positionV relativeFrom="paragraph">
              <wp:posOffset>-363220</wp:posOffset>
            </wp:positionV>
            <wp:extent cx="7543165" cy="10666095"/>
            <wp:effectExtent l="0" t="0" r="635" b="1905"/>
            <wp:wrapNone/>
            <wp:docPr id="9" name="图片 9" descr="详情页重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详情页重庆(3)"/>
                    <pic:cNvPicPr>
                      <a:picLocks noChangeAspect="1"/>
                    </pic:cNvPicPr>
                  </pic:nvPicPr>
                  <pic:blipFill>
                    <a:blip r:embed="rId10"/>
                    <a:stretch>
                      <a:fillRect/>
                    </a:stretch>
                  </pic:blipFill>
                  <pic:spPr>
                    <a:xfrm>
                      <a:off x="0" y="0"/>
                      <a:ext cx="7543165" cy="10666095"/>
                    </a:xfrm>
                    <a:prstGeom prst="rect">
                      <a:avLst/>
                    </a:prstGeom>
                  </pic:spPr>
                </pic:pic>
              </a:graphicData>
            </a:graphic>
          </wp:anchor>
        </w:drawing>
      </w:r>
      <w:r>
        <w:rPr>
          <w:rFonts w:hint="eastAsia"/>
          <w:lang w:eastAsia="zh-CN"/>
        </w:rPr>
        <w:br w:type="page"/>
      </w:r>
    </w:p>
    <w:p w14:paraId="5CB397F5">
      <w:pPr>
        <w:rPr>
          <w:rFonts w:hint="default"/>
          <w:lang w:val="en-US"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-200025</wp:posOffset>
            </wp:positionH>
            <wp:positionV relativeFrom="paragraph">
              <wp:posOffset>-382270</wp:posOffset>
            </wp:positionV>
            <wp:extent cx="7565390" cy="10893425"/>
            <wp:effectExtent l="0" t="0" r="16510" b="3175"/>
            <wp:wrapNone/>
            <wp:docPr id="5" name="图片 5" descr="详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详情4"/>
                    <pic:cNvPicPr>
                      <a:picLocks noChangeAspect="1"/>
                    </pic:cNvPicPr>
                  </pic:nvPicPr>
                  <pic:blipFill>
                    <a:blip r:embed="rId11"/>
                    <a:stretch>
                      <a:fillRect/>
                    </a:stretch>
                  </pic:blipFill>
                  <pic:spPr>
                    <a:xfrm>
                      <a:off x="0" y="0"/>
                      <a:ext cx="7565390" cy="10893425"/>
                    </a:xfrm>
                    <a:prstGeom prst="rect">
                      <a:avLst/>
                    </a:prstGeom>
                  </pic:spPr>
                </pic:pic>
              </a:graphicData>
            </a:graphic>
          </wp:anchor>
        </w:drawing>
      </w:r>
      <w:r>
        <w:rPr>
          <w:rFonts w:hint="eastAsia"/>
          <w:lang w:val="en-US" w:eastAsia="zh-CN"/>
        </w:rPr>
        <w:t>+++</w:t>
      </w:r>
    </w:p>
    <w:p w14:paraId="285DFD58">
      <w:pPr>
        <w:rPr>
          <w:rFonts w:hint="eastAsia"/>
          <w:lang w:eastAsia="zh-CN"/>
        </w:rPr>
      </w:pPr>
      <w:r>
        <w:rPr>
          <w:rFonts w:hint="eastAsia"/>
          <w:lang w:eastAsia="zh-CN"/>
        </w:rPr>
        <w:drawing>
          <wp:inline distT="0" distB="0" distL="114300" distR="114300">
            <wp:extent cx="7124700" cy="9705340"/>
            <wp:effectExtent l="0" t="0" r="0" b="10160"/>
            <wp:docPr id="4" name="图片 4" descr="详情页重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详情页重庆(3)"/>
                    <pic:cNvPicPr>
                      <a:picLocks noChangeAspect="1"/>
                    </pic:cNvPicPr>
                  </pic:nvPicPr>
                  <pic:blipFill>
                    <a:blip r:embed="rId10"/>
                    <a:stretch>
                      <a:fillRect/>
                    </a:stretch>
                  </pic:blipFill>
                  <pic:spPr>
                    <a:xfrm>
                      <a:off x="0" y="0"/>
                      <a:ext cx="7124700" cy="9705340"/>
                    </a:xfrm>
                    <a:prstGeom prst="rect">
                      <a:avLst/>
                    </a:prstGeom>
                  </pic:spPr>
                </pic:pic>
              </a:graphicData>
            </a:graphic>
          </wp:inline>
        </w:drawing>
      </w:r>
      <w:r>
        <w:rPr>
          <w:rFonts w:hint="eastAsia"/>
          <w:lang w:eastAsia="zh-CN"/>
        </w:rPr>
        <w:br w:type="page"/>
      </w:r>
    </w:p>
    <w:p w14:paraId="4B17CD37">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-200025</wp:posOffset>
            </wp:positionH>
            <wp:positionV relativeFrom="paragraph">
              <wp:posOffset>-369570</wp:posOffset>
            </wp:positionV>
            <wp:extent cx="7544435" cy="10763250"/>
            <wp:effectExtent l="0" t="0" r="18415" b="0"/>
            <wp:wrapNone/>
            <wp:docPr id="7" name="图片 7" descr="详情页重庆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详情页重庆5"/>
                    <pic:cNvPicPr>
                      <a:picLocks noChangeAspect="1"/>
                    </pic:cNvPicPr>
                  </pic:nvPicPr>
                  <pic:blipFill>
                    <a:blip r:embed="rId12"/>
                    <a:stretch>
                      <a:fillRect/>
                    </a:stretch>
                  </pic:blipFill>
                  <pic:spPr>
                    <a:xfrm>
                      <a:off x="0" y="0"/>
                      <a:ext cx="7544435" cy="10763250"/>
                    </a:xfrm>
                    <a:prstGeom prst="rect">
                      <a:avLst/>
                    </a:prstGeom>
                  </pic:spPr>
                </pic:pic>
              </a:graphicData>
            </a:graphic>
          </wp:anchor>
        </w:drawing>
      </w:r>
      <w:r>
        <w:rPr>
          <w:rFonts w:hint="eastAsia"/>
          <w:lang w:eastAsia="zh-CN"/>
        </w:rPr>
        <w:br w:type="page"/>
      </w:r>
    </w:p>
    <w:p w14:paraId="2F314926">
      <w:pPr>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-377190</wp:posOffset>
            </wp:positionV>
            <wp:extent cx="7550785" cy="10696575"/>
            <wp:effectExtent l="0" t="0" r="12065" b="9525"/>
            <wp:wrapNone/>
            <wp:docPr id="8" name="图片 8" descr="详情页重庆(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详情页重庆(6)"/>
                    <pic:cNvPicPr>
                      <a:picLocks noChangeAspect="1"/>
                    </pic:cNvPicPr>
                  </pic:nvPicPr>
                  <pic:blipFill>
                    <a:blip r:embed="rId13"/>
                    <a:stretch>
                      <a:fillRect/>
                    </a:stretch>
                  </pic:blipFill>
                  <pic:spPr>
                    <a:xfrm>
                      <a:off x="0" y="0"/>
                      <a:ext cx="7550785" cy="10696575"/>
                    </a:xfrm>
                    <a:prstGeom prst="rect">
                      <a:avLst/>
                    </a:prstGeom>
                  </pic:spPr>
                </pic:pic>
              </a:graphicData>
            </a:graphic>
          </wp:anchor>
        </w:drawing>
      </w:r>
    </w:p>
    <w:p w14:paraId="06A67D8A">
      <w:pPr>
        <w:rPr>
          <w:rFonts w:hint="eastAsia"/>
          <w:lang w:eastAsia="zh-CN"/>
        </w:rPr>
      </w:pPr>
      <w:r>
        <w:rPr>
          <w:rFonts w:hint="eastAsia"/>
          <w:lang w:eastAsia="zh-CN"/>
        </w:rPr>
        <w:br w:type="page"/>
      </w:r>
    </w:p>
    <w:p w14:paraId="14DAA029">
      <w:pPr>
        <w:rPr>
          <w:rFonts w:hint="default"/>
          <w:lang w:val="en-US" w:eastAsia="zh-CN"/>
        </w:rPr>
      </w:pPr>
      <w:r>
        <w:rPr>
          <w:rFonts w:hint="eastAsia"/>
          <w:lang w:val="en-US" w:eastAsia="zh-CN"/>
        </w:rPr>
        <w:t>hd</w:t>
      </w: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BC8B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1789C13F">
            <w:pPr>
              <w:jc w:val="center"/>
              <w:rPr>
                <w:rFonts w:hint="eastAsia" w:ascii="微软雅黑" w:hAnsi="微软雅黑" w:eastAsia="微软雅黑" w:cs="微软雅黑"/>
                <w:b/>
                <w:bCs/>
                <w:color w:val="00B050"/>
                <w:kern w:val="2"/>
                <w:sz w:val="32"/>
                <w:szCs w:val="32"/>
                <w:lang w:val="en-US" w:eastAsia="zh-CN" w:bidi="ar-SA"/>
              </w:rPr>
            </w:pPr>
            <w:r>
              <w:rPr>
                <w:rFonts w:hint="eastAsia"/>
                <w:lang w:eastAsia="zh-CN"/>
              </w:rPr>
              <w:br w:type="page"/>
            </w:r>
            <w:r>
              <w:rPr>
                <w:rFonts w:hint="eastAsia" w:ascii="微软雅黑" w:hAnsi="微软雅黑" w:eastAsia="微软雅黑" w:cs="微软雅黑"/>
                <w:b/>
                <w:bCs/>
                <w:color w:val="00B050"/>
                <w:kern w:val="2"/>
                <w:sz w:val="52"/>
                <w:szCs w:val="52"/>
                <w:lang w:val="en-US" w:eastAsia="zh-CN" w:bidi="ar-SA"/>
              </w:rPr>
              <w:t>【渝惟品】</w:t>
            </w:r>
          </w:p>
        </w:tc>
      </w:tr>
      <w:tr w14:paraId="7C33CF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976BF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b/>
                <w:bCs/>
                <w:color w:val="00B050"/>
                <w:kern w:val="2"/>
                <w:sz w:val="32"/>
                <w:szCs w:val="32"/>
                <w:lang w:val="en-US" w:eastAsia="zh-CN" w:bidi="ar-SA"/>
              </w:rPr>
            </w:pPr>
            <w:r>
              <w:rPr>
                <w:rFonts w:hint="eastAsia" w:ascii="微软雅黑" w:hAnsi="微软雅黑" w:eastAsia="微软雅黑" w:cs="微软雅黑"/>
                <w:b/>
                <w:bCs/>
                <w:color w:val="00B050"/>
                <w:kern w:val="2"/>
                <w:sz w:val="32"/>
                <w:szCs w:val="32"/>
                <w:lang w:val="en-US" w:eastAsia="zh-CN" w:bidi="ar-SA"/>
              </w:rPr>
              <w:t>武隆仙女山/天生三桥/九黎城/乌江画廊游船/磁器口/李子坝轻轨穿楼/洪崖洞/解放碑/山城步道/鹅岭二厂/中山四路/大礼堂/白公馆/渣滓洞双飞6日游</w:t>
            </w:r>
          </w:p>
        </w:tc>
      </w:tr>
      <w:tr w14:paraId="15F4C2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 w:hRule="atLeast"/>
        </w:trPr>
        <w:tc>
          <w:tcPr>
            <w:tcW w:w="11628" w:type="dxa"/>
            <w:gridSpan w:val="6"/>
            <w:tcBorders>
              <w:bottom w:val="single" w:color="auto" w:sz="4" w:space="0"/>
            </w:tcBorders>
          </w:tcPr>
          <w:p w14:paraId="5EE79BF8">
            <w:pPr>
              <w:keepNext w:val="0"/>
              <w:keepLines w:val="0"/>
              <w:pageBreakBefore w:val="0"/>
              <w:kinsoku/>
              <w:wordWrap/>
              <w:overflowPunct/>
              <w:topLinePunct w:val="0"/>
              <w:autoSpaceDE/>
              <w:autoSpaceDN/>
              <w:bidi w:val="0"/>
              <w:adjustRightInd/>
              <w:snapToGrid/>
              <w:spacing w:after="200" w:line="360" w:lineRule="exact"/>
              <w:ind w:firstLine="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theme="minorBidi"/>
                <w:b/>
                <w:bCs/>
                <w:color w:val="FFFFFF" w:themeColor="background1"/>
                <w:kern w:val="0"/>
                <w:sz w:val="22"/>
                <w:szCs w:val="22"/>
                <w:shd w:val="clear" w:fill="E36C09" w:themeFill="accent6" w:themeFillShade="BF"/>
                <w:lang w:val="en-US" w:eastAsia="zh-CN" w:bidi="ar-SA"/>
                <w14:textFill>
                  <w14:solidFill>
                    <w14:schemeClr w14:val="bg1"/>
                  </w14:solidFill>
                </w14:textFill>
              </w:rPr>
              <w:t>❀【甄选住宿】</w:t>
            </w:r>
            <w:r>
              <w:rPr>
                <w:rFonts w:hint="eastAsia" w:ascii="微软雅黑" w:hAnsi="微软雅黑" w:eastAsia="微软雅黑" w:cs="微软雅黑"/>
                <w:lang w:val="en-US" w:eastAsia="zh-CN"/>
              </w:rPr>
              <w:t>全程5晚精选准四酒店</w:t>
            </w:r>
          </w:p>
          <w:p w14:paraId="2E986775">
            <w:pPr>
              <w:pStyle w:val="9"/>
              <w:keepNext w:val="0"/>
              <w:keepLines w:val="0"/>
              <w:pageBreakBefore w:val="0"/>
              <w:widowControl/>
              <w:suppressLineNumbers w:val="0"/>
              <w:kinsoku/>
              <w:wordWrap/>
              <w:overflowPunct/>
              <w:topLinePunct w:val="0"/>
              <w:autoSpaceDE/>
              <w:autoSpaceDN/>
              <w:bidi w:val="0"/>
              <w:adjustRightInd/>
              <w:snapToGrid/>
              <w:spacing w:line="360" w:lineRule="exact"/>
              <w:ind w:left="360" w:hanging="220" w:hangingChars="10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theme="minorBidi"/>
                <w:b/>
                <w:bCs/>
                <w:color w:val="FFFFFF" w:themeColor="background1"/>
                <w:kern w:val="0"/>
                <w:sz w:val="22"/>
                <w:szCs w:val="22"/>
                <w:shd w:val="clear" w:fill="E36C09" w:themeFill="accent6" w:themeFillShade="BF"/>
                <w:lang w:val="en-US" w:eastAsia="zh-CN" w:bidi="ar-SA"/>
                <w14:textFill>
                  <w14:solidFill>
                    <w14:schemeClr w14:val="bg1"/>
                  </w14:solidFill>
                </w14:textFill>
              </w:rPr>
              <w:t>❀【大咖景点】</w:t>
            </w:r>
            <w:r>
              <w:rPr>
                <w:rFonts w:hint="eastAsia" w:ascii="微软雅黑" w:hAnsi="微软雅黑" w:eastAsia="微软雅黑" w:cs="微软雅黑"/>
                <w:kern w:val="2"/>
                <w:sz w:val="21"/>
                <w:szCs w:val="24"/>
                <w:lang w:val="en-US" w:eastAsia="zh-CN" w:bidi="ar-SA"/>
              </w:rPr>
              <w:t>王牌A级景点大融合（武隆仙女山/天生三桥/九黎城/乌江画廊游船/磁器口/李子坝轻轨穿楼/洪崖洞/解放碑/山城步道/鹅岭二厂/中山四路/大礼堂/白公馆/渣滓洞）一次游览不留遗憾</w:t>
            </w:r>
          </w:p>
          <w:p w14:paraId="270804B1">
            <w:pPr>
              <w:pStyle w:val="9"/>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theme="minorBidi"/>
                <w:b/>
                <w:bCs/>
                <w:color w:val="FFFFFF" w:themeColor="background1"/>
                <w:kern w:val="0"/>
                <w:sz w:val="22"/>
                <w:szCs w:val="22"/>
                <w:shd w:val="clear" w:fill="E36C09" w:themeFill="accent6" w:themeFillShade="BF"/>
                <w:lang w:val="en-US" w:eastAsia="zh-CN" w:bidi="ar-SA"/>
                <w14:textFill>
                  <w14:solidFill>
                    <w14:schemeClr w14:val="bg1"/>
                  </w14:solidFill>
                </w14:textFill>
              </w:rPr>
              <w:t>❀【优秀导游】</w:t>
            </w:r>
            <w:r>
              <w:rPr>
                <w:rFonts w:hint="eastAsia" w:ascii="微软雅黑" w:hAnsi="微软雅黑" w:eastAsia="微软雅黑" w:cs="微软雅黑"/>
                <w:kern w:val="2"/>
                <w:sz w:val="21"/>
                <w:szCs w:val="24"/>
                <w:lang w:val="en-US" w:eastAsia="zh-CN" w:bidi="ar-SA"/>
              </w:rPr>
              <w:t>精选实力专线服务型导游·深度讲解</w:t>
            </w:r>
          </w:p>
          <w:p w14:paraId="123594B4">
            <w:pPr>
              <w:pStyle w:val="9"/>
              <w:keepNext w:val="0"/>
              <w:keepLines w:val="0"/>
              <w:pageBreakBefore w:val="0"/>
              <w:widowControl/>
              <w:suppressLineNumbers w:val="0"/>
              <w:kinsoku/>
              <w:wordWrap/>
              <w:overflowPunct/>
              <w:topLinePunct w:val="0"/>
              <w:autoSpaceDE/>
              <w:autoSpaceDN/>
              <w:bidi w:val="0"/>
              <w:adjustRightInd/>
              <w:snapToGrid/>
              <w:spacing w:line="360" w:lineRule="exact"/>
              <w:ind w:left="360" w:hanging="220" w:hangingChars="10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theme="minorBidi"/>
                <w:b/>
                <w:bCs/>
                <w:color w:val="FFFFFF" w:themeColor="background1"/>
                <w:kern w:val="0"/>
                <w:sz w:val="22"/>
                <w:szCs w:val="22"/>
                <w:shd w:val="clear" w:fill="E36C09" w:themeFill="accent6" w:themeFillShade="BF"/>
                <w:lang w:val="en-US" w:eastAsia="zh-CN" w:bidi="ar-SA"/>
                <w14:textFill>
                  <w14:solidFill>
                    <w14:schemeClr w14:val="bg1"/>
                  </w14:solidFill>
                </w14:textFill>
              </w:rPr>
              <w:t>❀【正规用车】</w:t>
            </w:r>
            <w:r>
              <w:rPr>
                <w:rFonts w:hint="eastAsia" w:ascii="微软雅黑" w:hAnsi="微软雅黑" w:eastAsia="微软雅黑" w:cs="微软雅黑"/>
                <w:kern w:val="2"/>
                <w:sz w:val="21"/>
                <w:szCs w:val="24"/>
                <w:lang w:val="en-US" w:eastAsia="zh-CN" w:bidi="ar-SA"/>
              </w:rPr>
              <w:t>舒适空调旅游车</w:t>
            </w:r>
          </w:p>
        </w:tc>
      </w:tr>
      <w:tr w14:paraId="4E8EB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3AAA4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5E2BD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0E8B0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9359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14F5E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089A8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CFF00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抵达重庆</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接站入住酒店</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自由活动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5FFF6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1D217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931A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40ED2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03CEE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0BEA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915A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天生三桥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仙女山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6005E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A405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0B2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D1BD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黔江/武隆</w:t>
            </w:r>
          </w:p>
        </w:tc>
      </w:tr>
      <w:tr w14:paraId="07D556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82B08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A67A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九黎城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乌江画廊游船</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E0737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41F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125B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7657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巴南/南川/重庆</w:t>
            </w:r>
          </w:p>
        </w:tc>
      </w:tr>
      <w:tr w14:paraId="008D8A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CD7ED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E520F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磁器口</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李子坝轻轨穿楼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 xml:space="preserve">洪崖洞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47F1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55526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C9A7C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E969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135CB0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B2B6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3FBE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解放碑</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山城步道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鹅岭二厂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中山四路</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大礼堂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白公馆</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渣滓洞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441A7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F0B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86AAB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84725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4B0F0A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C764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11C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72B6B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EA2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46EA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2A27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回家</w:t>
            </w:r>
          </w:p>
        </w:tc>
      </w:tr>
      <w:tr w14:paraId="7CC2BA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E923C3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D7594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66BCA1C">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出发地→山城重庆</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重庆</w:t>
            </w:r>
          </w:p>
        </w:tc>
      </w:tr>
      <w:tr w14:paraId="35D4AF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9FF0822">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出发地乘坐</w:t>
            </w:r>
            <w:r>
              <w:rPr>
                <w:rFonts w:hint="eastAsia" w:ascii="微软雅黑" w:hAnsi="微软雅黑" w:eastAsia="微软雅黑" w:cs="微软雅黑"/>
                <w:b/>
                <w:bCs/>
                <w:color w:val="FF0000"/>
                <w:kern w:val="2"/>
                <w:sz w:val="21"/>
                <w:szCs w:val="22"/>
                <w:lang w:val="en-US" w:eastAsia="zh-CN" w:bidi="zh-CN"/>
              </w:rPr>
              <w:t>【待定航班】</w:t>
            </w:r>
            <w:r>
              <w:rPr>
                <w:rFonts w:hint="eastAsia" w:ascii="微软雅黑" w:hAnsi="微软雅黑" w:eastAsia="微软雅黑" w:cs="微软雅黑"/>
                <w:lang w:val="en-US" w:eastAsia="zh-CN"/>
              </w:rPr>
              <w:t>赴重庆，抵达重庆，当天提供专人专车接机，送至酒店后自由活动。</w:t>
            </w:r>
          </w:p>
          <w:p w14:paraId="2EC1CBB5">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color w:val="0000FF"/>
                <w:lang w:val="en-US" w:eastAsia="zh-CN"/>
              </w:rPr>
            </w:pPr>
            <w:r>
              <w:rPr>
                <w:rFonts w:hint="eastAsia" w:ascii="微软雅黑" w:hAnsi="微软雅黑" w:eastAsia="微软雅黑" w:cs="微软雅黑"/>
                <w:color w:val="0000FF"/>
                <w:lang w:val="en-US" w:eastAsia="zh-CN"/>
              </w:rPr>
              <w:t>1、今日抵达重庆后接站司机会在车站迎接，请每位游客下车后保证手机畅通，等侯旅行社工作人员迎接，不要随便和陌生人交流，不要与陌生人随意走动，我社接站司机均有统一的工作牌，请认明并确认身份才上车。</w:t>
            </w:r>
          </w:p>
          <w:p w14:paraId="225A962E">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color w:val="0000FF"/>
                <w:lang w:val="en-US" w:eastAsia="zh-CN"/>
              </w:rPr>
            </w:pPr>
            <w:r>
              <w:rPr>
                <w:rFonts w:hint="eastAsia" w:ascii="微软雅黑" w:hAnsi="微软雅黑" w:eastAsia="微软雅黑" w:cs="微软雅黑"/>
                <w:color w:val="0000FF"/>
                <w:lang w:val="en-US" w:eastAsia="zh-CN"/>
              </w:rPr>
              <w:t>2、送至酒店自行办理入住后自由活动，无行程安排，不含导服、餐、车服务；由于线路为当地散客拼团，在不减少景点的情况下，行程游览顺序可能会有所调整。</w:t>
            </w:r>
          </w:p>
          <w:p w14:paraId="133904CD">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color w:val="0000FF"/>
                <w:lang w:val="en-US" w:eastAsia="zh-CN"/>
              </w:rPr>
            </w:pPr>
            <w:r>
              <w:rPr>
                <w:rFonts w:hint="eastAsia" w:ascii="微软雅黑" w:hAnsi="微软雅黑" w:eastAsia="微软雅黑" w:cs="微软雅黑"/>
                <w:color w:val="0000FF"/>
                <w:lang w:val="en-US" w:eastAsia="zh-CN"/>
              </w:rPr>
              <w:t>3、司机将在晚19点至22点之间短信或电话联系您第二天的接车时间，请您保持手机畅通。</w:t>
            </w:r>
          </w:p>
          <w:p w14:paraId="15A2EB6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eastAsia="zh-CN"/>
              </w:rPr>
            </w:pPr>
            <w:r>
              <w:rPr>
                <w:rFonts w:hint="eastAsia" w:ascii="微软雅黑" w:hAnsi="微软雅黑" w:eastAsia="微软雅黑" w:cs="微软雅黑"/>
                <w:color w:val="0000FF"/>
                <w:lang w:val="en-US" w:eastAsia="zh-CN"/>
              </w:rPr>
              <w:t>4、酒店押金请酒店前台自付，并保管好押金条，第二天退房时检查无误退还。</w:t>
            </w:r>
          </w:p>
        </w:tc>
      </w:tr>
      <w:tr w14:paraId="1D1FB3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FCDAB3B">
            <w:pPr>
              <w:spacing w:line="240" w:lineRule="auto"/>
              <w:ind w:left="8404" w:hanging="8404" w:hangingChars="3000"/>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天生三桥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仙女山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用餐/早/中/晚   住宿/武陵</w:t>
            </w:r>
          </w:p>
        </w:tc>
      </w:tr>
      <w:tr w14:paraId="42AA74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463B993">
            <w:pPr>
              <w:keepNext w:val="0"/>
              <w:keepLines w:val="0"/>
              <w:pageBreakBefore w:val="0"/>
              <w:widowControl w:val="0"/>
              <w:kinsoku/>
              <w:wordWrap/>
              <w:overflowPunct/>
              <w:topLinePunct w:val="0"/>
              <w:autoSpaceDE/>
              <w:autoSpaceDN/>
              <w:bidi w:val="0"/>
              <w:adjustRightInd/>
              <w:snapToGrid/>
              <w:spacing w:line="360" w:lineRule="exact"/>
              <w:ind w:right="-21" w:rightChars="-10" w:firstLine="630" w:firstLineChars="3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07:00 专车至市区五大商圈内各宾馆或居住地接游客（具体时间以导游通知为准） ，各区接客完毕以 后 ，统一在发车点分车出发 ，经包茂高速前往仙女山镇（全程 200 公里 ，车程约 3 小时）。</w:t>
            </w:r>
          </w:p>
          <w:p w14:paraId="3CD5A44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午餐结束后前往抵达游客接待中心乘换乘车前往国家 5A 级景区、“武隆喀斯特”世界自然遗产核心   区、国家地质公园——</w:t>
            </w:r>
            <w:r>
              <w:rPr>
                <w:rFonts w:hint="eastAsia" w:ascii="微软雅黑" w:hAnsi="微软雅黑" w:eastAsia="微软雅黑" w:cs="微软雅黑"/>
                <w:b/>
                <w:bCs/>
                <w:color w:val="FF0000"/>
                <w:kern w:val="2"/>
                <w:sz w:val="21"/>
                <w:szCs w:val="22"/>
                <w:lang w:val="en-US" w:eastAsia="zh-CN" w:bidi="zh-CN"/>
              </w:rPr>
              <w:t>【天生三桥】</w:t>
            </w:r>
            <w:r>
              <w:rPr>
                <w:rFonts w:hint="eastAsia" w:ascii="微软雅黑" w:hAnsi="微软雅黑" w:eastAsia="微软雅黑" w:cs="微软雅黑"/>
                <w:lang w:val="en-US" w:eastAsia="zh-CN"/>
              </w:rPr>
              <w:t>（</w:t>
            </w:r>
            <w:r>
              <w:rPr>
                <w:rFonts w:hint="eastAsia" w:ascii="微软雅黑" w:hAnsi="微软雅黑" w:eastAsia="微软雅黑" w:cs="微软雅黑"/>
                <w:color w:val="FF0000"/>
                <w:lang w:val="en-US" w:eastAsia="zh-CN"/>
              </w:rPr>
              <w:t>景区换车40元/人+旋转电梯45元/人费用不含，必须产生；</w:t>
            </w:r>
            <w:r>
              <w:rPr>
                <w:rFonts w:hint="eastAsia" w:ascii="微软雅黑" w:hAnsi="微软雅黑" w:eastAsia="微软雅黑" w:cs="微软雅黑"/>
                <w:b w:val="0"/>
                <w:bCs w:val="0"/>
                <w:color w:val="FF0000"/>
                <w:lang w:val="en-US" w:eastAsia="zh-CN"/>
              </w:rPr>
              <w:t>电瓶车15费用不含，自愿自理</w:t>
            </w:r>
            <w:r>
              <w:rPr>
                <w:rFonts w:hint="eastAsia" w:ascii="微软雅黑" w:hAnsi="微软雅黑" w:eastAsia="微软雅黑" w:cs="微软雅黑"/>
                <w:lang w:val="en-US" w:eastAsia="zh-CN"/>
              </w:rPr>
              <w:t>） ，以其壮丽而独特的“三硚夹两坑”景观称  奇于世。世界最大天生桥群和世界第二大天坑群相映生辉，坑与坑之间以桥洞相望，桥与桥之间以坑相连， 规模宏大 ，气势磅礴 ，瑰丽壮。是张艺谋 06 年电影大片《满城尽带黄金甲》唯一外景地。如亲临拍摄地、 观看投资 200 万修建的唐朝古驿。</w:t>
            </w:r>
          </w:p>
          <w:p w14:paraId="12E51A1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lang w:val="en-US" w:eastAsia="zh-CN"/>
              </w:rPr>
              <w:t>后前往</w:t>
            </w:r>
            <w:r>
              <w:rPr>
                <w:rFonts w:hint="eastAsia" w:ascii="微软雅黑" w:hAnsi="微软雅黑" w:eastAsia="微软雅黑" w:cs="微软雅黑"/>
                <w:b/>
                <w:bCs/>
                <w:color w:val="FF0000"/>
                <w:kern w:val="2"/>
                <w:sz w:val="21"/>
                <w:szCs w:val="22"/>
                <w:lang w:val="en-US" w:eastAsia="zh-CN" w:bidi="zh-CN"/>
              </w:rPr>
              <w:t>【仙女山国家森林公园】</w:t>
            </w:r>
            <w:r>
              <w:rPr>
                <w:rFonts w:hint="eastAsia" w:ascii="微软雅黑" w:hAnsi="微软雅黑" w:eastAsia="微软雅黑" w:cs="微软雅黑"/>
                <w:lang w:val="en-US" w:eastAsia="zh-CN"/>
              </w:rPr>
              <w:t>（</w:t>
            </w:r>
            <w:r>
              <w:rPr>
                <w:rFonts w:hint="eastAsia" w:ascii="微软雅黑" w:hAnsi="微软雅黑" w:eastAsia="微软雅黑" w:cs="微软雅黑"/>
                <w:b w:val="0"/>
                <w:bCs w:val="0"/>
                <w:color w:val="FF0000"/>
                <w:lang w:val="en-US" w:eastAsia="zh-CN"/>
              </w:rPr>
              <w:t>仙女山小火车25费用不含，自愿自理</w:t>
            </w:r>
            <w:r>
              <w:rPr>
                <w:rFonts w:hint="eastAsia" w:ascii="微软雅黑" w:hAnsi="微软雅黑" w:eastAsia="微软雅黑" w:cs="微软雅黑"/>
                <w:lang w:val="en-US" w:eastAsia="zh-CN"/>
              </w:rPr>
              <w:t>）平均海拔1900米，高峰2033米，拥有森林33万亩，天然草原 10 万亩，以其江南独具魅力的高山草原，被誉为“南国第一牧场”；可以在草原里漫步，享受阳光的温暖普照。</w:t>
            </w:r>
          </w:p>
        </w:tc>
      </w:tr>
      <w:tr w14:paraId="4F41AA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E26AF07">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三天</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九黎城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乌江画廊游船</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/重庆/南川</w:t>
            </w:r>
          </w:p>
        </w:tc>
      </w:tr>
      <w:tr w14:paraId="167336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9A1DE03">
            <w:pPr>
              <w:pStyle w:val="23"/>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早餐后统一乘车前往</w:t>
            </w:r>
            <w:r>
              <w:rPr>
                <w:rFonts w:hint="eastAsia" w:ascii="微软雅黑" w:hAnsi="微软雅黑" w:eastAsia="微软雅黑" w:cs="微软雅黑"/>
                <w:b/>
                <w:bCs/>
                <w:color w:val="FF0000"/>
                <w:kern w:val="2"/>
                <w:sz w:val="21"/>
                <w:szCs w:val="22"/>
                <w:lang w:val="en-US" w:eastAsia="zh-CN" w:bidi="zh-CN"/>
              </w:rPr>
              <w:t>【九黎城】</w:t>
            </w:r>
            <w:r>
              <w:rPr>
                <w:rFonts w:hint="eastAsia" w:ascii="微软雅黑" w:hAnsi="微软雅黑" w:eastAsia="微软雅黑" w:cs="微软雅黑"/>
                <w:kern w:val="2"/>
                <w:sz w:val="21"/>
                <w:szCs w:val="24"/>
                <w:lang w:val="en-US" w:eastAsia="zh-CN" w:bidi="ar-SA"/>
              </w:rPr>
              <w:t>‌蚩尤九黎城‌位于重庆市彭水苗族土家族自治县靛水街道乌江边，是一座以苗族始祖蚩尤文化为主题的4A级景区，也是中国最大的苗族传统建筑群。这里不仅是苗族文化的瑰宝，更是一个集历史、建筑、艺术于一体的旅游胜地。蚩尤九黎城总占地面积10平方千米，主要建筑包括标志门楼、九道门、九黎宫、九黎部落、北斗七星、苗王府、蚩尤大殿、禹王宫、善堂、盘瓠大殿、百苗长廊、九黎神柱、艺武场、百戏楼、游客服务中心、购物长廊、美食一条街等。其中九道门、九黎宫、九黎神柱三项建筑已被列入大世界吉尼斯之最。</w:t>
            </w:r>
          </w:p>
          <w:p w14:paraId="3AF8264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游览完毕后，享用特色午餐。</w:t>
            </w:r>
          </w:p>
          <w:p w14:paraId="2239C7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spacing w:val="-2"/>
                <w:sz w:val="22"/>
                <w:szCs w:val="22"/>
                <w:lang w:val="en-US" w:eastAsia="zh-CN"/>
              </w:rPr>
            </w:pPr>
            <w:r>
              <w:rPr>
                <w:rFonts w:hint="eastAsia" w:ascii="微软雅黑" w:hAnsi="微软雅黑" w:eastAsia="微软雅黑" w:cs="微软雅黑"/>
                <w:kern w:val="2"/>
                <w:sz w:val="21"/>
                <w:szCs w:val="24"/>
                <w:lang w:val="en-US" w:eastAsia="zh-CN" w:bidi="ar-SA"/>
              </w:rPr>
              <w:t>随后前往</w:t>
            </w:r>
            <w:r>
              <w:rPr>
                <w:rFonts w:hint="eastAsia" w:ascii="微软雅黑" w:hAnsi="微软雅黑" w:eastAsia="微软雅黑" w:cs="微软雅黑"/>
                <w:b/>
                <w:bCs/>
                <w:color w:val="FF0000"/>
                <w:kern w:val="2"/>
                <w:sz w:val="21"/>
                <w:szCs w:val="22"/>
                <w:lang w:val="en-US" w:eastAsia="zh-CN" w:bidi="zh-CN"/>
              </w:rPr>
              <w:t>【乌江画廊游船】（</w:t>
            </w:r>
            <w:r>
              <w:rPr>
                <w:rFonts w:hint="eastAsia" w:ascii="微软雅黑" w:hAnsi="微软雅黑" w:eastAsia="微软雅黑" w:cs="微软雅黑"/>
                <w:color w:val="FF0000"/>
                <w:lang w:val="en-US" w:eastAsia="zh-CN"/>
              </w:rPr>
              <w:t>乌江游船188/人，费用不含，必须产生</w:t>
            </w:r>
            <w:r>
              <w:rPr>
                <w:rFonts w:hint="eastAsia" w:ascii="微软雅黑" w:hAnsi="微软雅黑" w:eastAsia="微软雅黑" w:cs="微软雅黑"/>
                <w:b/>
                <w:bCs/>
                <w:color w:val="FF0000"/>
                <w:kern w:val="2"/>
                <w:sz w:val="21"/>
                <w:szCs w:val="22"/>
                <w:lang w:val="en-US" w:eastAsia="zh-CN" w:bidi="zh-CN"/>
              </w:rPr>
              <w:t>）</w:t>
            </w:r>
            <w:r>
              <w:rPr>
                <w:rFonts w:hint="eastAsia" w:ascii="微软雅黑" w:hAnsi="微软雅黑" w:eastAsia="微软雅黑" w:cs="微软雅黑"/>
                <w:kern w:val="2"/>
                <w:sz w:val="21"/>
                <w:szCs w:val="24"/>
                <w:lang w:val="en-US" w:eastAsia="zh-CN" w:bidi="ar-SA"/>
              </w:rPr>
              <w:t>千里乌江，百里画廊，乌江画廊两岸翠绿葱郁，山峦叠嶂，奇峰对峙，各显神姿，奇山、怪石、碧水、险滩、古镇、廊桥、纤道等构成了乌江百里画廊的景观要素，乘坐乌江画舫，便可观赏美不胜收的景致。</w:t>
            </w:r>
            <w:bookmarkStart w:id="0" w:name="_GoBack"/>
            <w:bookmarkEnd w:id="0"/>
          </w:p>
        </w:tc>
      </w:tr>
      <w:tr w14:paraId="0FC7CF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DF14662">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磁器口</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李子坝</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洪崖洞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val="en-US" w:eastAsia="zh-CN"/>
              </w:rPr>
              <w:t>重庆</w:t>
            </w:r>
          </w:p>
        </w:tc>
      </w:tr>
      <w:tr w14:paraId="535875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C71B607">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sz w:val="22"/>
                <w:szCs w:val="22"/>
              </w:rPr>
              <w:t xml:space="preserve"> </w:t>
            </w: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lang w:val="en-US" w:eastAsia="zh-CN"/>
              </w:rPr>
              <w:t>享用早餐 ，随后乘车前往</w:t>
            </w:r>
            <w:r>
              <w:rPr>
                <w:rFonts w:hint="eastAsia" w:ascii="微软雅黑" w:hAnsi="微软雅黑" w:eastAsia="微软雅黑" w:cs="微软雅黑"/>
                <w:b/>
                <w:bCs/>
                <w:color w:val="FF0000"/>
                <w:kern w:val="2"/>
                <w:sz w:val="21"/>
                <w:szCs w:val="22"/>
                <w:lang w:val="en-US" w:eastAsia="zh-CN" w:bidi="zh-CN"/>
              </w:rPr>
              <w:t>【重庆特产超市】</w:t>
            </w:r>
            <w:r>
              <w:rPr>
                <w:rFonts w:hint="eastAsia" w:ascii="微软雅黑" w:hAnsi="微软雅黑" w:eastAsia="微软雅黑" w:cs="微软雅黑"/>
                <w:lang w:val="en-US" w:eastAsia="zh-CN"/>
              </w:rPr>
              <w:t>体验了解武陵山脉硒土特产，辟邪吉物朱砂，还有对身体有益的各种产品。武陵山脉是迄今为止全球唯一探明独立硒矿床所在地 ，境内硒矿蕴藏量世界第一，是世界天然生物硒资源最富集的地区，这里拥有最丰富的富硒产品展示区，体验区，游客可自由选择产品。</w:t>
            </w:r>
          </w:p>
          <w:p w14:paraId="0450BA48">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kern w:val="2"/>
                <w:sz w:val="21"/>
                <w:szCs w:val="22"/>
                <w:lang w:val="en-US" w:eastAsia="zh-CN" w:bidi="zh-CN"/>
              </w:rPr>
              <w:t>【磁器口】</w:t>
            </w:r>
            <w:r>
              <w:rPr>
                <w:rFonts w:hint="eastAsia" w:ascii="微软雅黑" w:hAnsi="微软雅黑" w:eastAsia="微软雅黑" w:cs="微软雅黑"/>
                <w:lang w:val="en-US" w:eastAsia="zh-CN"/>
              </w:rPr>
              <w:t>原名龙隐镇，国家 AAAA 级景区，中国历史文化名街，重庆市重点保护传 统街，重庆“新    巴渝十二景”，巴渝民俗文化旅游圈。磁器口古镇位于重庆市沙坪坝区嘉 陵江畔，始建于宋代，拥有“一江两溪三山四街”的独特地貌 ，是嘉陵江边重要的水陆码 头。曾经“ 白日里千人拱手，入夜后万盏明灯” 繁盛一时。磁器口古镇蕴含丰富的巴渝文 化、宗教文化、沙磁文化、红岩文化和民间文化，各具特色。一条石板路，千年磁器口，是重庆古城的缩影和象征，被赞誉为“小重庆”。磁器口古镇开发有榨油、抽丝、制糖、捏面人、川戏等传统表演项目和各种传统小吃、茶馆等 ，每年春节举办的磁器口庙会是最 具特色的传统活动 ，吸引数万市民前往参与。</w:t>
            </w:r>
          </w:p>
          <w:p w14:paraId="484FB00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kern w:val="2"/>
                <w:sz w:val="21"/>
                <w:szCs w:val="22"/>
                <w:lang w:val="en-US" w:eastAsia="zh-CN" w:bidi="zh-CN"/>
              </w:rPr>
              <w:t>【李子坝轻轨穿楼】</w:t>
            </w:r>
            <w:r>
              <w:rPr>
                <w:rFonts w:hint="eastAsia" w:ascii="微软雅黑" w:hAnsi="微软雅黑" w:eastAsia="微软雅黑" w:cs="微软雅黑"/>
                <w:lang w:val="en-US" w:eastAsia="zh-CN"/>
              </w:rPr>
              <w:t>重庆的轻轨路线用“依山傍水穿城而过”来形容绝不为过，跨桥过江的、山间行驶的、穿楼而过的 ，皆是风景。其中轻轨二号线李子坝站，更是因为“穿楼而过”成为外地网友争相追捧的网红地。 (观景台观看)</w:t>
            </w:r>
          </w:p>
          <w:p w14:paraId="5566038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b/>
                <w:bCs/>
                <w:color w:val="FF0000"/>
                <w:kern w:val="2"/>
                <w:sz w:val="21"/>
                <w:szCs w:val="22"/>
                <w:lang w:val="en-US" w:eastAsia="zh-CN" w:bidi="zh-CN"/>
              </w:rPr>
              <w:t>【洪崖洞】</w:t>
            </w:r>
            <w:r>
              <w:rPr>
                <w:rFonts w:hint="eastAsia" w:ascii="微软雅黑" w:hAnsi="微软雅黑" w:eastAsia="微软雅黑" w:cs="微软雅黑"/>
                <w:lang w:val="en-US" w:eastAsia="zh-CN"/>
              </w:rPr>
              <w:t xml:space="preserve">重庆市区三面临江，一面靠山，倚山筑城，建筑层叠耸起，道路盘旋而上。城市风貌如此独特，形成的夜景堪称惊奇：万家灯火错落有致地点亮夜空 ，构成一片高下井然、远近互衬的灯的海洋。 </w:t>
            </w:r>
          </w:p>
        </w:tc>
      </w:tr>
      <w:tr w14:paraId="1BB5F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40C6635">
            <w:pPr>
              <w:pStyle w:val="5"/>
              <w:numPr>
                <w:ilvl w:val="0"/>
                <w:numId w:val="0"/>
              </w:num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FFFF"/>
                <w:kern w:val="2"/>
                <w:sz w:val="28"/>
                <w:szCs w:val="28"/>
                <w:lang w:val="en-US" w:eastAsia="zh-CN" w:bidi="ar-SA"/>
              </w:rPr>
              <w:t xml:space="preserve">第五天 解放碑→山城步道→鹅岭二厂→中山四路→大礼堂→白公馆→渣滓洞  </w:t>
            </w:r>
            <w:r>
              <w:rPr>
                <w:rFonts w:hint="eastAsia" w:ascii="微软雅黑" w:hAnsi="微软雅黑" w:eastAsia="微软雅黑" w:cs="微软雅黑"/>
                <w:b/>
                <w:bCs/>
                <w:sz w:val="21"/>
                <w:szCs w:val="21"/>
                <w:lang w:val="en-US" w:eastAsia="zh-CN"/>
              </w:rPr>
              <w:t xml:space="preserve"> </w:t>
            </w:r>
          </w:p>
          <w:p w14:paraId="4B5AF31C">
            <w:pPr>
              <w:pStyle w:val="5"/>
              <w:numPr>
                <w:ilvl w:val="0"/>
                <w:numId w:val="0"/>
              </w:numPr>
              <w:ind w:firstLine="8404" w:firstLineChars="3000"/>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重庆</w:t>
            </w:r>
          </w:p>
        </w:tc>
      </w:tr>
      <w:tr w14:paraId="2DC222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55B02DB">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zh-CN"/>
              </w:rPr>
              <w:t>【解放碑】</w:t>
            </w:r>
            <w:r>
              <w:rPr>
                <w:rFonts w:hint="eastAsia" w:ascii="微软雅黑" w:hAnsi="微软雅黑" w:eastAsia="微软雅黑" w:cs="微软雅黑"/>
                <w:bCs/>
                <w:kern w:val="2"/>
                <w:sz w:val="21"/>
                <w:szCs w:val="21"/>
                <w:lang w:val="en-US" w:eastAsia="zh-CN" w:bidi="ar-SA"/>
              </w:rPr>
              <w:t>记录着重庆的历史与文化，支撑着重庆过去和未来，如今的解放碑已是中央商务区的代名词，是重庆核心的城市名片，是重庆十大文化符号之一</w:t>
            </w:r>
          </w:p>
          <w:p w14:paraId="1E4976A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b/>
                <w:bCs/>
                <w:color w:val="FF0000"/>
                <w:kern w:val="2"/>
                <w:sz w:val="21"/>
                <w:szCs w:val="21"/>
                <w:lang w:val="en-US" w:eastAsia="zh-CN" w:bidi="zh-CN"/>
              </w:rPr>
              <w:t>【山城步道】</w:t>
            </w:r>
            <w:r>
              <w:rPr>
                <w:rFonts w:hint="eastAsia" w:ascii="微软雅黑" w:hAnsi="微软雅黑" w:eastAsia="微软雅黑" w:cs="微软雅黑"/>
                <w:bCs/>
                <w:sz w:val="21"/>
                <w:szCs w:val="21"/>
              </w:rPr>
              <w:t>山城步道是只能步行的城市小道。与多数城市的小街巷不同，山城步道有很多的上下坡的台阶，也就是当地人说的“梯坎”。最典型的就是重庆第三步道。</w:t>
            </w:r>
          </w:p>
          <w:p w14:paraId="12B435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b/>
                <w:bCs/>
                <w:color w:val="FF0000"/>
                <w:kern w:val="2"/>
                <w:sz w:val="21"/>
                <w:szCs w:val="21"/>
                <w:lang w:val="en-US" w:eastAsia="zh-CN" w:bidi="zh-CN"/>
              </w:rPr>
              <w:t>【鹅岭二厂】</w:t>
            </w:r>
            <w:r>
              <w:rPr>
                <w:rFonts w:hint="eastAsia" w:ascii="微软雅黑" w:hAnsi="微软雅黑" w:eastAsia="微软雅黑" w:cs="微软雅黑"/>
                <w:bCs/>
                <w:sz w:val="21"/>
                <w:szCs w:val="21"/>
              </w:rPr>
              <w:t>破旧的楼房高低错落，独居特色的小店隐藏其中，夜幕降临，还能欣赏到绝美的夜景，更是文艺爱情电影《从你的全世界路过》拍摄地，已经成为火爆的文艺地标。</w:t>
            </w:r>
          </w:p>
          <w:p w14:paraId="1162B6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微软雅黑" w:hAnsi="微软雅黑" w:eastAsia="微软雅黑" w:cs="微软雅黑"/>
                <w:b/>
                <w:color w:val="A8001D"/>
                <w:sz w:val="21"/>
                <w:szCs w:val="21"/>
                <w:lang w:val="en-GB"/>
              </w:rPr>
            </w:pPr>
            <w:r>
              <w:rPr>
                <w:rFonts w:hint="eastAsia" w:ascii="微软雅黑" w:hAnsi="微软雅黑" w:eastAsia="微软雅黑" w:cs="微软雅黑"/>
                <w:b/>
                <w:bCs/>
                <w:color w:val="FF0000"/>
                <w:kern w:val="2"/>
                <w:sz w:val="21"/>
                <w:szCs w:val="21"/>
                <w:lang w:val="en-GB" w:eastAsia="zh-CN" w:bidi="zh-CN"/>
              </w:rPr>
              <w:t>【中山四路】</w:t>
            </w:r>
            <w:r>
              <w:rPr>
                <w:rFonts w:hint="eastAsia" w:ascii="微软雅黑" w:hAnsi="微软雅黑" w:eastAsia="微软雅黑" w:cs="微软雅黑"/>
                <w:color w:val="000000"/>
                <w:sz w:val="21"/>
                <w:szCs w:val="21"/>
                <w:lang w:val="zh-CN"/>
              </w:rPr>
              <w:t xml:space="preserve">来到重庆最美街道【中山四路】，作为中国抗战文化保存最集中的区域之一，中山四路沿街散落有桂园、周公馆、戴公馆等抗战名人遗址。这条复刻了泱泱大国如晦历史记忆的长路，自上世纪30年代便锁定了来自世界的瞩目，并以它独一无二的城市地位，代言着城市的前世今生…… </w:t>
            </w:r>
          </w:p>
          <w:p w14:paraId="205369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b/>
                <w:bCs/>
                <w:color w:val="FF0000"/>
                <w:kern w:val="2"/>
                <w:sz w:val="21"/>
                <w:szCs w:val="21"/>
                <w:lang w:val="en-GB" w:eastAsia="zh-CN" w:bidi="zh-CN"/>
              </w:rPr>
              <w:t>【白公馆】</w:t>
            </w:r>
            <w:r>
              <w:rPr>
                <w:rFonts w:hint="eastAsia" w:ascii="微软雅黑" w:hAnsi="微软雅黑" w:eastAsia="微软雅黑" w:cs="微软雅黑"/>
                <w:color w:val="000000"/>
                <w:sz w:val="21"/>
                <w:szCs w:val="21"/>
                <w:lang w:val="en-GB"/>
              </w:rPr>
              <w:t>原是四川军阀白驹的别墅。1939年军统局将此改建为看守所关押政治犯。原一楼一底的十余间住房改为牢房，地下储藏室改为地牢。1943年中美特种技术合作所成立，白公馆作为中美合作所第三招待所，关押人员被移往附近的渣滓洞。抗战胜利后，白公馆被作为特别看守所。1947年春，渣滓洞"人犯"又迁回白公馆关押。抗日爱国将领黄显声、同济大学校长周均时、共产党员夫妇及幼子"小萝卜头"都曾被囚于此。</w:t>
            </w:r>
          </w:p>
          <w:p w14:paraId="38B889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Arial" w:hAnsi="Arial" w:eastAsia="宋体" w:cs="Arial"/>
                <w:i w:val="0"/>
                <w:iCs w:val="0"/>
                <w:caps w:val="0"/>
                <w:color w:val="333333"/>
                <w:spacing w:val="0"/>
                <w:sz w:val="21"/>
                <w:szCs w:val="21"/>
                <w:shd w:val="clear" w:fill="FFFFFF"/>
              </w:rPr>
            </w:pPr>
            <w:r>
              <w:rPr>
                <w:rFonts w:hint="eastAsia" w:ascii="微软雅黑" w:hAnsi="微软雅黑" w:eastAsia="微软雅黑" w:cs="微软雅黑"/>
                <w:b/>
                <w:bCs/>
                <w:color w:val="FF0000"/>
                <w:kern w:val="2"/>
                <w:sz w:val="21"/>
                <w:szCs w:val="21"/>
                <w:lang w:val="en-GB" w:eastAsia="zh-CN" w:bidi="zh-CN"/>
              </w:rPr>
              <w:t>【渣滓洞】</w:t>
            </w:r>
            <w:r>
              <w:rPr>
                <w:rFonts w:hint="eastAsia" w:ascii="微软雅黑" w:hAnsi="微软雅黑" w:eastAsia="微软雅黑" w:cs="微软雅黑"/>
                <w:b/>
                <w:color w:val="FF0000"/>
                <w:sz w:val="21"/>
                <w:szCs w:val="21"/>
              </w:rPr>
              <w:t>（换乘车20元/人自理）</w:t>
            </w:r>
            <w:r>
              <w:rPr>
                <w:rFonts w:hint="eastAsia" w:ascii="微软雅黑" w:hAnsi="微软雅黑" w:eastAsia="微软雅黑" w:cs="微软雅黑"/>
                <w:color w:val="000000"/>
                <w:sz w:val="21"/>
                <w:szCs w:val="21"/>
                <w:lang w:val="en-GB"/>
              </w:rPr>
              <w:t>原是重庆郊外的一个小煤窑，因渣多煤少而得名。渣滓洞三面是山，一面是沟，位置较隐蔽。1939年，国民党军统特务逼死矿主，霸占煤窑，在此设立了监狱。分内外两院，外院为特务办公室、刑讯室等，内院一楼一底16间房间为男牢，另有两间平房为女牢观革命传统教育基地中美合作所了解震惊中外的“11、27”大屠杀事件，缅怀革命先辈。有文艺作品《烈火中永生》《红岩》《江姐》【小石头】等以此为原型。</w:t>
            </w:r>
          </w:p>
        </w:tc>
      </w:tr>
      <w:tr w14:paraId="242572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113EB0">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kern w:val="2"/>
                <w:sz w:val="28"/>
                <w:szCs w:val="28"/>
                <w:lang w:val="en-US" w:eastAsia="zh-CN" w:bidi="ar-SA"/>
              </w:rPr>
              <w:t xml:space="preserve"> 重庆</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出发地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回家</w:t>
            </w:r>
          </w:p>
        </w:tc>
      </w:tr>
      <w:tr w14:paraId="2AEFB4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62" w:hRule="atLeast"/>
        </w:trPr>
        <w:tc>
          <w:tcPr>
            <w:tcW w:w="11628" w:type="dxa"/>
            <w:gridSpan w:val="6"/>
            <w:tcBorders>
              <w:top w:val="single" w:color="auto" w:sz="4" w:space="0"/>
              <w:left w:val="single" w:color="auto" w:sz="4" w:space="0"/>
              <w:bottom w:val="single" w:color="auto" w:sz="4" w:space="0"/>
              <w:right w:val="single" w:color="auto" w:sz="4" w:space="0"/>
            </w:tcBorders>
          </w:tcPr>
          <w:p w14:paraId="63195E8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根据</w:t>
            </w:r>
            <w:r>
              <w:rPr>
                <w:rFonts w:hint="eastAsia" w:ascii="微软雅黑" w:hAnsi="微软雅黑" w:eastAsia="微软雅黑" w:cs="微软雅黑"/>
                <w:kern w:val="2"/>
                <w:sz w:val="21"/>
                <w:szCs w:val="24"/>
                <w:lang w:val="zh-CN" w:eastAsia="zh-CN" w:bidi="ar-SA"/>
              </w:rPr>
              <w:t>航班时间</w:t>
            </w:r>
            <w:r>
              <w:rPr>
                <w:rFonts w:hint="eastAsia" w:ascii="微软雅黑" w:hAnsi="微软雅黑" w:eastAsia="微软雅黑" w:cs="微软雅黑"/>
                <w:kern w:val="2"/>
                <w:sz w:val="21"/>
                <w:szCs w:val="24"/>
                <w:lang w:val="en-US" w:eastAsia="zh-CN" w:bidi="ar-SA"/>
              </w:rPr>
              <w:t>送机，返回出发地</w:t>
            </w:r>
            <w:r>
              <w:rPr>
                <w:rFonts w:hint="eastAsia" w:ascii="微软雅黑" w:hAnsi="微软雅黑" w:eastAsia="微软雅黑" w:cs="微软雅黑"/>
                <w:kern w:val="2"/>
                <w:sz w:val="21"/>
                <w:szCs w:val="24"/>
                <w:lang w:val="zh-CN" w:eastAsia="zh-CN" w:bidi="ar-SA"/>
              </w:rPr>
              <w:t>，对着山城说“再见”，结束难忘的山城之旅。</w:t>
            </w:r>
          </w:p>
          <w:p w14:paraId="78AAE2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4"/>
                <w:highlight w:val="yellow"/>
                <w:lang w:val="en-US" w:eastAsia="zh-CN" w:bidi="ar-SA"/>
              </w:rPr>
            </w:pPr>
            <w:r>
              <w:rPr>
                <w:rFonts w:hint="eastAsia" w:ascii="微软雅黑" w:hAnsi="微软雅黑" w:eastAsia="微软雅黑" w:cs="微软雅黑"/>
                <w:color w:val="FF0000"/>
                <w:kern w:val="2"/>
                <w:sz w:val="21"/>
                <w:szCs w:val="24"/>
                <w:highlight w:val="yellow"/>
                <w:lang w:val="en-US" w:eastAsia="zh-CN" w:bidi="ar-SA"/>
              </w:rPr>
              <w:t>★★温馨提示★★</w:t>
            </w:r>
          </w:p>
          <w:p w14:paraId="14B0AE8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1、今日送机/火车的司机会在前一天晚上22点之前与您联系确认送站时间，请保持电话畅通。（乘坐飞机的游客提前3小时到达机场，乘坐动车的游客建提前2小时到达车站，因自身原因导致误机的，游客自行承担）。</w:t>
            </w:r>
          </w:p>
          <w:p w14:paraId="13C3E1C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kern w:val="2"/>
                <w:sz w:val="21"/>
                <w:szCs w:val="24"/>
                <w:lang w:val="en-US" w:eastAsia="zh-CN" w:bidi="ar-SA"/>
              </w:rPr>
              <w:t>2、酒店统一规定当日退房时间最迟为中午12点（未按时退房酒店将加收额外费用需自理），如当天航班较晚，可将行李寄存在酒店前台，然后自由活动。退房请将所有行李整理携带，切勿遗忘。</w:t>
            </w:r>
          </w:p>
        </w:tc>
      </w:tr>
      <w:tr w14:paraId="0336F0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F2FD319">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FB7E3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10E044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91ED4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8996E1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13946922">
            <w:pPr>
              <w:pStyle w:val="2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1、</w:t>
            </w:r>
            <w:r>
              <w:rPr>
                <w:rFonts w:hint="eastAsia" w:ascii="微软雅黑" w:hAnsi="微软雅黑" w:eastAsia="微软雅黑" w:cs="微软雅黑"/>
                <w:kern w:val="2"/>
                <w:sz w:val="21"/>
                <w:szCs w:val="21"/>
                <w:lang w:val="en-US" w:eastAsia="zh-CN" w:bidi="ar-SA"/>
              </w:rPr>
              <w:t>门票</w:t>
            </w:r>
            <w:r>
              <w:rPr>
                <w:rFonts w:hint="eastAsia"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武隆仙女山大门票、天生三桥景区大门票。</w:t>
            </w:r>
          </w:p>
          <w:p w14:paraId="3D5247B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注（1）：该行程门票已享受旅行社团队优惠价，老年证，学生证，军官证，残疾证等均不再享受门票优惠政策或退费政策；请游客主动出示合法有效证件（居民身份证）依次进入景区，若使用伪造证件导致的一切责任及后果应由游客自行承担。未携带合法有效证件者，请自行补门票差价，费用由导游现收。</w:t>
            </w:r>
          </w:p>
          <w:p w14:paraId="66E9F5E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kern w:val="2"/>
                <w:sz w:val="21"/>
                <w:szCs w:val="21"/>
                <w:lang w:val="en-US" w:eastAsia="zh-CN" w:bidi="ar-SA"/>
              </w:rPr>
              <w:t>赠送项目如因景区原因或不可抗因素，无法体验，不退任何费用。</w:t>
            </w:r>
          </w:p>
          <w:p w14:paraId="30E5BAC8">
            <w:pPr>
              <w:pStyle w:val="17"/>
              <w:keepNext w:val="0"/>
              <w:keepLines w:val="0"/>
              <w:pageBreakBefore w:val="0"/>
              <w:widowControl w:val="0"/>
              <w:tabs>
                <w:tab w:val="left" w:pos="1230"/>
                <w:tab w:val="left" w:pos="4074"/>
              </w:tabs>
              <w:kinsoku/>
              <w:wordWrap/>
              <w:overflowPunct/>
              <w:topLinePunct w:val="0"/>
              <w:autoSpaceDE/>
              <w:autoSpaceDN/>
              <w:bidi w:val="0"/>
              <w:adjustRightInd/>
              <w:snapToGrid/>
              <w:spacing w:line="360" w:lineRule="exact"/>
              <w:ind w:right="420" w:rightChars="20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2、酒店：行程所列5晚准四酒店，每人1床位，全程酒店双人标准间（如出现单男单女，则客人自行补房差）   </w:t>
            </w:r>
          </w:p>
          <w:p w14:paraId="312CF977">
            <w:pPr>
              <w:pStyle w:val="2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3、餐费：全程包含</w:t>
            </w:r>
            <w:r>
              <w:rPr>
                <w:rFonts w:hint="eastAsia" w:cs="微软雅黑"/>
                <w:kern w:val="2"/>
                <w:sz w:val="21"/>
                <w:szCs w:val="21"/>
                <w:lang w:val="en-US" w:eastAsia="zh-CN" w:bidi="ar-SA"/>
              </w:rPr>
              <w:t>5</w:t>
            </w:r>
            <w:r>
              <w:rPr>
                <w:rFonts w:hint="eastAsia" w:ascii="微软雅黑" w:hAnsi="微软雅黑" w:eastAsia="微软雅黑" w:cs="微软雅黑"/>
                <w:kern w:val="2"/>
                <w:sz w:val="21"/>
                <w:szCs w:val="21"/>
                <w:lang w:val="en-US" w:eastAsia="zh-CN" w:bidi="ar-SA"/>
              </w:rPr>
              <w:t>早5正（不用不退费）早餐围桌或自助餐注</w:t>
            </w:r>
            <w:r>
              <w:rPr>
                <w:rFonts w:hint="eastAsia"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正餐 9-11 人/桌</w:t>
            </w:r>
            <w:r>
              <w:rPr>
                <w:rFonts w:hint="eastAsia"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酒水自理</w:t>
            </w:r>
            <w:r>
              <w:rPr>
                <w:rFonts w:hint="eastAsia"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占床房费送早</w:t>
            </w:r>
            <w:r>
              <w:rPr>
                <w:rFonts w:hint="eastAsia"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不占床需客人自行购买早餐券</w:t>
            </w:r>
            <w:r>
              <w:rPr>
                <w:rFonts w:hint="eastAsia"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不足十人则按比例增减。如游客不用餐</w:t>
            </w:r>
            <w:r>
              <w:rPr>
                <w:rFonts w:hint="eastAsia" w:cs="微软雅黑"/>
                <w:kern w:val="2"/>
                <w:sz w:val="21"/>
                <w:szCs w:val="21"/>
                <w:lang w:val="en-US" w:eastAsia="zh-CN" w:bidi="ar-SA"/>
              </w:rPr>
              <w:t>，</w:t>
            </w:r>
            <w:r>
              <w:rPr>
                <w:rFonts w:hint="eastAsia" w:ascii="微软雅黑" w:hAnsi="微软雅黑" w:eastAsia="微软雅黑" w:cs="微软雅黑"/>
                <w:kern w:val="2"/>
                <w:sz w:val="21"/>
                <w:szCs w:val="21"/>
                <w:lang w:val="en-US" w:eastAsia="zh-CN" w:bidi="ar-SA"/>
              </w:rPr>
              <w:t>餐费一律不退</w:t>
            </w:r>
          </w:p>
          <w:p w14:paraId="24AEE26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textAlignment w:val="auto"/>
              <w:rPr>
                <w:rFonts w:hint="default"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kern w:val="2"/>
                <w:sz w:val="21"/>
                <w:szCs w:val="21"/>
                <w:lang w:val="en-US" w:eastAsia="zh-CN" w:bidi="ar-SA"/>
              </w:rPr>
              <w:t>行程中所含所有用餐均为旅游包价组合消费，故因个人原因取消均不退费。</w:t>
            </w:r>
          </w:p>
          <w:p w14:paraId="41C031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en-US" w:eastAsia="zh-CN" w:bidi="ar-SA"/>
              </w:rPr>
              <w:t>4、交通：正规空调旅游车，保证一人一正座。</w:t>
            </w:r>
          </w:p>
          <w:p w14:paraId="33C67607">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6049AC1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6、全程1生活超市（生活超市不算店）</w:t>
            </w:r>
            <w:r>
              <w:rPr>
                <w:rFonts w:hint="eastAsia" w:ascii="微软雅黑" w:hAnsi="微软雅黑" w:eastAsia="微软雅黑" w:cs="微软雅黑"/>
                <w:sz w:val="21"/>
                <w:szCs w:val="21"/>
                <w:lang w:val="zh-CN"/>
              </w:rPr>
              <w:t>，景区内设立的商店、路店不属本行程安排购物店范畴；</w:t>
            </w:r>
            <w:r>
              <w:rPr>
                <w:rFonts w:hint="eastAsia" w:ascii="微软雅黑" w:hAnsi="微软雅黑" w:eastAsia="微软雅黑" w:cs="微软雅黑"/>
                <w:sz w:val="21"/>
                <w:szCs w:val="21"/>
                <w:lang w:val="en-US" w:eastAsia="zh-CN"/>
              </w:rPr>
              <w:t>另导游和旅游车司机可能有兜售特产的行为，属当地所有旅游车普遍正常现象，</w:t>
            </w:r>
            <w:r>
              <w:rPr>
                <w:rFonts w:hint="eastAsia" w:ascii="微软雅黑" w:hAnsi="微软雅黑" w:eastAsia="微软雅黑" w:cs="微软雅黑"/>
                <w:sz w:val="21"/>
                <w:szCs w:val="21"/>
                <w:lang w:val="zh-CN"/>
              </w:rPr>
              <w:t>以上范畴均不强制消费，请旅游者按自身意愿决定购物行为，本公司不接受在此区域购物方面的投诉。</w:t>
            </w:r>
          </w:p>
        </w:tc>
      </w:tr>
      <w:tr w14:paraId="34A2C0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194DE9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BBB7BCD">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儿童价格执行标准：</w:t>
            </w:r>
            <w:r>
              <w:rPr>
                <w:rFonts w:hint="eastAsia" w:ascii="微软雅黑" w:hAnsi="微软雅黑" w:eastAsia="微软雅黑" w:cs="微软雅黑"/>
                <w:lang w:val="en-US" w:eastAsia="zh-CN"/>
              </w:rPr>
              <w:t>1.2米以下，12周岁以下；</w:t>
            </w:r>
          </w:p>
          <w:p w14:paraId="5755551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2、儿童价格包含：当地接待车位费、全程半餐费、导游服务费</w:t>
            </w:r>
            <w:r>
              <w:rPr>
                <w:rFonts w:hint="eastAsia" w:ascii="微软雅黑" w:hAnsi="微软雅黑" w:eastAsia="微软雅黑" w:cs="微软雅黑"/>
                <w:lang w:eastAsia="zh-CN"/>
              </w:rPr>
              <w:t>；</w:t>
            </w:r>
          </w:p>
          <w:p w14:paraId="1CE689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3、儿童价格不含：住宿、门票；若产生费用现付当地导游；儿童不含成人报价中的赠送门票项目</w:t>
            </w:r>
            <w:r>
              <w:rPr>
                <w:rFonts w:hint="eastAsia" w:ascii="微软雅黑" w:hAnsi="微软雅黑" w:eastAsia="微软雅黑" w:cs="微软雅黑"/>
                <w:lang w:eastAsia="zh-CN"/>
              </w:rPr>
              <w:t>；</w:t>
            </w:r>
          </w:p>
          <w:p w14:paraId="57A8F8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5、儿童如身高超1.2米产生门票当地现付</w:t>
            </w:r>
          </w:p>
        </w:tc>
      </w:tr>
      <w:tr w14:paraId="32F980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2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9EEEEB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F898D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1、收客正常年龄满2</w:t>
            </w:r>
            <w:r>
              <w:rPr>
                <w:rFonts w:hint="eastAsia" w:ascii="微软雅黑" w:hAnsi="微软雅黑" w:eastAsia="微软雅黑" w:cs="微软雅黑"/>
                <w:lang w:val="en-US" w:eastAsia="zh-CN"/>
              </w:rPr>
              <w:t>6</w:t>
            </w:r>
            <w:r>
              <w:rPr>
                <w:rFonts w:hint="eastAsia" w:ascii="微软雅黑" w:hAnsi="微软雅黑" w:eastAsia="微软雅黑" w:cs="微软雅黑"/>
              </w:rPr>
              <w:t>-75周岁</w:t>
            </w:r>
          </w:p>
          <w:p w14:paraId="6B88313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rPr>
            </w:pPr>
            <w:r>
              <w:rPr>
                <w:rFonts w:hint="eastAsia" w:ascii="微软雅黑" w:hAnsi="微软雅黑" w:eastAsia="微软雅黑" w:cs="微软雅黑"/>
              </w:rPr>
              <w:t>2、整组26岁内或70岁以上附加费500/人</w:t>
            </w:r>
          </w:p>
          <w:p w14:paraId="570FD9E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rPr>
            </w:pPr>
            <w:r>
              <w:rPr>
                <w:rFonts w:hint="eastAsia" w:ascii="微软雅黑" w:hAnsi="微软雅黑" w:eastAsia="微软雅黑" w:cs="微软雅黑"/>
              </w:rPr>
              <w:t>3、学生同成操附加费500/人</w:t>
            </w:r>
          </w:p>
          <w:p w14:paraId="560BC0D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4、特殊人群:（苗.维吾尔.土家.藏.回族）／特殊职业（同行.律师.珠宝销售）/四川.张家界.恩施.贵州联游/重庆人/四川人】附加费500/人</w:t>
            </w:r>
          </w:p>
        </w:tc>
      </w:tr>
      <w:tr w14:paraId="07F7B5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FC3E51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☆☆必消项目☆☆</w:t>
            </w:r>
          </w:p>
          <w:p w14:paraId="428E328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微软雅黑" w:cs="Calibri"/>
                <w:lang w:val="en-US" w:eastAsia="zh-CN"/>
              </w:rPr>
            </w:pPr>
            <w:r>
              <w:rPr>
                <w:rFonts w:hint="default" w:ascii="微软雅黑" w:hAnsi="微软雅黑" w:eastAsia="微软雅黑" w:cs="微软雅黑"/>
                <w:b/>
                <w:bCs/>
                <w:color w:val="FF0000"/>
                <w:kern w:val="2"/>
                <w:sz w:val="21"/>
                <w:szCs w:val="24"/>
                <w:lang w:val="en-US" w:eastAsia="zh-CN" w:bidi="ar-SA"/>
              </w:rPr>
              <w:t>必消明细:打包价258</w:t>
            </w:r>
            <w:r>
              <w:rPr>
                <w:rFonts w:hint="eastAsia" w:ascii="微软雅黑" w:hAnsi="微软雅黑" w:eastAsia="微软雅黑" w:cs="微软雅黑"/>
                <w:b/>
                <w:bCs/>
                <w:color w:val="FF0000"/>
                <w:kern w:val="2"/>
                <w:sz w:val="21"/>
                <w:szCs w:val="24"/>
                <w:lang w:val="en-US" w:eastAsia="zh-CN" w:bidi="ar-SA"/>
              </w:rPr>
              <w:t>/人=乌江画廊</w:t>
            </w:r>
            <w:r>
              <w:rPr>
                <w:rFonts w:hint="default" w:ascii="微软雅黑" w:hAnsi="微软雅黑" w:eastAsia="微软雅黑" w:cs="微软雅黑"/>
                <w:b/>
                <w:bCs/>
                <w:color w:val="FF0000"/>
                <w:kern w:val="2"/>
                <w:sz w:val="21"/>
                <w:szCs w:val="24"/>
                <w:lang w:val="en-US" w:eastAsia="zh-CN" w:bidi="ar-SA"/>
              </w:rPr>
              <w:t>游船188+</w:t>
            </w:r>
            <w:r>
              <w:rPr>
                <w:rFonts w:hint="eastAsia" w:ascii="微软雅黑" w:hAnsi="微软雅黑" w:eastAsia="微软雅黑" w:cs="微软雅黑"/>
                <w:b/>
                <w:bCs/>
                <w:color w:val="FF0000"/>
                <w:kern w:val="2"/>
                <w:sz w:val="21"/>
                <w:szCs w:val="24"/>
                <w:lang w:val="en-US" w:eastAsia="zh-CN" w:bidi="ar-SA"/>
              </w:rPr>
              <w:t>天生三桥景区换车40元/人+旋转电梯45元/人，落地交给导游</w:t>
            </w:r>
          </w:p>
        </w:tc>
      </w:tr>
      <w:tr w14:paraId="3C0CCD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5E2EC73">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4"/>
                <w:szCs w:val="24"/>
                <w:highlight w:val="yellow"/>
                <w:lang w:val="en-US" w:eastAsia="zh-CN" w:bidi="ar-SA"/>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kern w:val="2"/>
                <w:sz w:val="24"/>
                <w:szCs w:val="24"/>
                <w:highlight w:val="yellow"/>
                <w:lang w:val="en-US" w:eastAsia="zh-CN" w:bidi="ar-SA"/>
              </w:rPr>
              <w:t>费用不含</w:t>
            </w:r>
            <w:r>
              <w:rPr>
                <w:rFonts w:hint="eastAsia" w:ascii="微软雅黑" w:hAnsi="微软雅黑" w:eastAsia="微软雅黑" w:cs="微软雅黑"/>
                <w:b/>
                <w:bCs/>
                <w:sz w:val="24"/>
                <w:highlight w:val="yellow"/>
                <w:lang w:val="en-US" w:eastAsia="zh-CN"/>
              </w:rPr>
              <w:t>☆☆</w:t>
            </w:r>
          </w:p>
          <w:p w14:paraId="46E744B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1、单房差/如1人全程入住相应指定酒店单独包房，需补单房差。</w:t>
            </w:r>
          </w:p>
          <w:p w14:paraId="3644D8F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2、因交通延阻，罢工，天气，飞机机器故障，航班取消或更改时间等或者其他不可抗力因素所致的额外费用。</w:t>
            </w:r>
          </w:p>
          <w:p w14:paraId="18E4338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3、景区配套便民服务设施及体验项目：</w:t>
            </w:r>
          </w:p>
          <w:p w14:paraId="45EFD29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0"/>
                <w:szCs w:val="20"/>
                <w:lang w:val="en-US" w:eastAsia="zh-CN"/>
              </w:rPr>
            </w:pPr>
            <w:r>
              <w:rPr>
                <w:rFonts w:hint="default" w:ascii="Calibri" w:hAnsi="Calibri" w:eastAsia="微软雅黑" w:cs="Calibri"/>
                <w:lang w:val="en-US" w:eastAsia="zh-CN"/>
              </w:rPr>
              <w:t>①</w:t>
            </w:r>
            <w:r>
              <w:rPr>
                <w:rFonts w:hint="eastAsia" w:ascii="微软雅黑" w:hAnsi="微软雅黑" w:eastAsia="微软雅黑" w:cs="微软雅黑"/>
                <w:sz w:val="20"/>
                <w:szCs w:val="20"/>
                <w:vertAlign w:val="baseline"/>
                <w:lang w:val="en-US" w:eastAsia="zh-CN"/>
              </w:rPr>
              <w:t>景区内交通：</w:t>
            </w:r>
            <w:r>
              <w:rPr>
                <w:rFonts w:hint="eastAsia" w:ascii="微软雅黑" w:hAnsi="微软雅黑" w:eastAsia="微软雅黑" w:cs="微软雅黑"/>
                <w:b w:val="0"/>
                <w:bCs w:val="0"/>
                <w:color w:val="FF0000"/>
                <w:lang w:val="en-US" w:eastAsia="zh-CN"/>
              </w:rPr>
              <w:t>天生三桥电瓶车15和仙女山小火车25</w:t>
            </w:r>
            <w:r>
              <w:rPr>
                <w:rFonts w:hint="eastAsia" w:ascii="微软雅黑" w:hAnsi="微软雅黑" w:eastAsia="微软雅黑" w:cs="微软雅黑"/>
                <w:b w:val="0"/>
                <w:bCs w:val="0"/>
                <w:color w:val="FF0000"/>
                <w:sz w:val="20"/>
                <w:szCs w:val="20"/>
                <w:lang w:val="en-US" w:eastAsia="zh-CN"/>
              </w:rPr>
              <w:t>（自愿自理）</w:t>
            </w:r>
          </w:p>
          <w:p w14:paraId="710CC42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default" w:ascii="Calibri" w:hAnsi="Calibri" w:eastAsia="微软雅黑" w:cs="Calibri"/>
                <w:lang w:val="en-US" w:eastAsia="zh-CN"/>
              </w:rPr>
              <w:t>②</w:t>
            </w:r>
            <w:r>
              <w:rPr>
                <w:rFonts w:hint="eastAsia" w:ascii="微软雅黑" w:hAnsi="微软雅黑" w:eastAsia="微软雅黑" w:cs="微软雅黑"/>
                <w:lang w:val="en-US" w:eastAsia="zh-CN"/>
              </w:rPr>
              <w:t>行程中景区内讲解费</w:t>
            </w:r>
          </w:p>
          <w:p w14:paraId="1F3E45E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default" w:ascii="Calibri" w:hAnsi="Calibri" w:eastAsia="微软雅黑" w:cs="Calibri"/>
                <w:lang w:val="en-US" w:eastAsia="zh-CN"/>
              </w:rPr>
              <w:t>③</w:t>
            </w:r>
            <w:r>
              <w:rPr>
                <w:rFonts w:hint="eastAsia" w:ascii="微软雅黑" w:hAnsi="微软雅黑" w:eastAsia="微软雅黑" w:cs="微软雅黑"/>
                <w:lang w:val="en-US" w:eastAsia="zh-CN"/>
              </w:rPr>
              <w:t>其他报价不含项目</w:t>
            </w:r>
          </w:p>
        </w:tc>
      </w:tr>
      <w:tr w14:paraId="655EF2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4BC8B0A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76602BB">
            <w:pPr>
              <w:pStyle w:val="23"/>
              <w:keepNext w:val="0"/>
              <w:keepLines w:val="0"/>
              <w:pageBreakBefore w:val="0"/>
              <w:widowControl w:val="0"/>
              <w:kinsoku/>
              <w:wordWrap/>
              <w:overflowPunct/>
              <w:topLinePunct w:val="0"/>
              <w:autoSpaceDE/>
              <w:autoSpaceDN/>
              <w:bidi w:val="0"/>
              <w:adjustRightInd/>
              <w:snapToGrid/>
              <w:spacing w:before="51" w:line="360" w:lineRule="exact"/>
              <w:ind w:right="409"/>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重庆参考酒店：汀龙酒店、城市阳光酒店、城市便捷酒店、古斯托酒店、时代同辉酒店、奥斯琳酒店、 清华綦瑞酒店、樱花酒店、泸渝酒店、泊尊、金科瑞金、碧佳酒店、和颐酒店、清茂酒店、锦菲酒店、 瑞浦酒店、奥斯林酒店、西纳维斯酒店、戈登、锦菲、南坪如家 庭泊泊尊 或同级酒店</w:t>
            </w:r>
          </w:p>
          <w:p w14:paraId="1F547192">
            <w:pPr>
              <w:pStyle w:val="23"/>
              <w:keepNext w:val="0"/>
              <w:keepLines w:val="0"/>
              <w:pageBreakBefore w:val="0"/>
              <w:widowControl w:val="0"/>
              <w:kinsoku/>
              <w:wordWrap/>
              <w:overflowPunct/>
              <w:topLinePunct w:val="0"/>
              <w:autoSpaceDE/>
              <w:autoSpaceDN/>
              <w:bidi w:val="0"/>
              <w:adjustRightInd/>
              <w:snapToGrid/>
              <w:spacing w:line="360" w:lineRule="exact"/>
              <w:ind w:right="546"/>
              <w:textAlignment w:val="auto"/>
              <w:rPr>
                <w:rFonts w:hint="eastAsia"/>
                <w:lang w:val="en-US" w:eastAsia="zh-CN"/>
              </w:rPr>
            </w:pPr>
            <w:r>
              <w:rPr>
                <w:rFonts w:hint="eastAsia" w:ascii="微软雅黑" w:hAnsi="微软雅黑" w:eastAsia="微软雅黑" w:cs="微软雅黑"/>
                <w:kern w:val="2"/>
                <w:sz w:val="21"/>
                <w:szCs w:val="24"/>
                <w:lang w:val="en-US" w:eastAsia="zh-CN" w:bidi="ar-SA"/>
              </w:rPr>
              <w:t>武隆参考酒店：九州酒店、大自然、华悦酒店、陈家花园、玖浩酒店、爱芊宿酒店、橙子酒店、柒遇 酒店、鼎宏、麋鹿、朋怡、漫城酒店 或同级酒店</w:t>
            </w:r>
          </w:p>
        </w:tc>
      </w:tr>
      <w:tr w14:paraId="7C3534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F087AE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C6E1CD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pPr>
            <w:r>
              <w:rPr>
                <w:rFonts w:hint="eastAsia" w:ascii="微软雅黑" w:hAnsi="微软雅黑" w:eastAsia="微软雅黑" w:cs="微软雅黑"/>
                <w:kern w:val="2"/>
                <w:sz w:val="21"/>
                <w:szCs w:val="24"/>
                <w:lang w:val="en-US" w:eastAsia="zh-CN" w:bidi="ar-SA"/>
              </w:rPr>
              <w:t>注：该行程门票已享受旅行社团队优惠价，老年证，学生证，军官证，残疾证等均不再享受门票优惠政策或退费政策；请游客主动出示合法有效证件（居民身份证）依次进入景区，若使用伪造证件导致的一切责任及后果应由游客自行承担。未携带合法有效证件者，请自行补门票差价，费用由导游现收。</w:t>
            </w:r>
          </w:p>
        </w:tc>
      </w:tr>
      <w:tr w14:paraId="1F49ED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79FD237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0AA1D3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4EAA03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CC7773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80F8B37">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C56D6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500C05D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DE2380D">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F6ACA0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6EFEC82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3575E2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2D5E13BB">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E7A59E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497A3CB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0427C36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6EF26A7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871DB7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r w14:paraId="5E5499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5170EF0">
            <w:pPr>
              <w:spacing w:line="240" w:lineRule="auto"/>
              <w:jc w:val="center"/>
              <w:rPr>
                <w:rFonts w:hint="eastAsia" w:ascii="微软雅黑" w:hAnsi="微软雅黑" w:eastAsia="微软雅黑" w:cs="微软雅黑"/>
                <w:sz w:val="18"/>
                <w:szCs w:val="18"/>
              </w:rPr>
            </w:pPr>
            <w:r>
              <w:rPr>
                <w:rFonts w:hint="eastAsia" w:ascii="微软雅黑" w:hAnsi="微软雅黑" w:eastAsia="微软雅黑" w:cs="微软雅黑"/>
                <w:b/>
                <w:sz w:val="28"/>
                <w:lang w:val="en-US"/>
              </w:rPr>
              <w:t>旅游合同补充协议</w:t>
            </w:r>
          </w:p>
          <w:p w14:paraId="7D22D163">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微软雅黑" w:hAnsi="微软雅黑" w:eastAsia="微软雅黑" w:cs="微软雅黑"/>
                <w:b/>
                <w:sz w:val="21"/>
                <w:szCs w:val="21"/>
              </w:rPr>
            </w:pPr>
            <w:r>
              <w:rPr>
                <w:rFonts w:hint="eastAsia" w:ascii="微软雅黑" w:hAnsi="微软雅黑" w:eastAsia="微软雅黑" w:cs="微软雅黑"/>
                <w:sz w:val="21"/>
                <w:szCs w:val="21"/>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tbl>
            <w:tblPr>
              <w:tblStyle w:val="12"/>
              <w:tblW w:w="9749" w:type="dxa"/>
              <w:jc w:val="center"/>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
            <w:tblGrid>
              <w:gridCol w:w="2466"/>
              <w:gridCol w:w="3539"/>
              <w:gridCol w:w="3744"/>
            </w:tblGrid>
            <w:tr w14:paraId="1A5DBC16">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426" w:hRule="atLeast"/>
                <w:jc w:val="center"/>
              </w:trPr>
              <w:tc>
                <w:tcPr>
                  <w:tcW w:w="9749" w:type="dxa"/>
                  <w:gridSpan w:val="3"/>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41AC105C">
                  <w:pPr>
                    <w:pStyle w:val="17"/>
                    <w:keepNext w:val="0"/>
                    <w:keepLines w:val="0"/>
                    <w:pageBreakBefore w:val="0"/>
                    <w:widowControl w:val="0"/>
                    <w:numPr>
                      <w:ilvl w:val="0"/>
                      <w:numId w:val="2"/>
                    </w:numPr>
                    <w:kinsoku/>
                    <w:wordWrap/>
                    <w:overflowPunct/>
                    <w:topLinePunct w:val="0"/>
                    <w:autoSpaceDE/>
                    <w:autoSpaceDN/>
                    <w:bidi w:val="0"/>
                    <w:adjustRightInd/>
                    <w:snapToGrid/>
                    <w:spacing w:before="156" w:beforeLines="50" w:after="156" w:afterLines="50" w:line="360" w:lineRule="exact"/>
                    <w:ind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rPr>
                    <w:t>景区配套小交通费用2</w:t>
                  </w:r>
                  <w:r>
                    <w:rPr>
                      <w:rFonts w:hint="eastAsia" w:ascii="微软雅黑" w:hAnsi="微软雅黑" w:eastAsia="微软雅黑" w:cs="微软雅黑"/>
                      <w:b/>
                      <w:color w:val="FF0000"/>
                      <w:sz w:val="21"/>
                      <w:szCs w:val="21"/>
                      <w:lang w:val="en-US" w:eastAsia="zh-CN"/>
                    </w:rPr>
                    <w:t>58</w:t>
                  </w:r>
                  <w:r>
                    <w:rPr>
                      <w:rFonts w:hint="eastAsia" w:ascii="微软雅黑" w:hAnsi="微软雅黑" w:eastAsia="微软雅黑" w:cs="微软雅黑"/>
                      <w:b/>
                      <w:color w:val="FF0000"/>
                      <w:sz w:val="21"/>
                      <w:szCs w:val="21"/>
                    </w:rPr>
                    <w:t>元/人为必须产生：</w:t>
                  </w:r>
                </w:p>
              </w:tc>
            </w:tr>
            <w:tr w14:paraId="1F5403D3">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347" w:hRule="atLeast"/>
                <w:jc w:val="center"/>
              </w:trPr>
              <w:tc>
                <w:tcPr>
                  <w:tcW w:w="246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4BA6D2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行程日期</w:t>
                  </w:r>
                </w:p>
              </w:tc>
              <w:tc>
                <w:tcPr>
                  <w:tcW w:w="3539"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118344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景区配套便民自费设施</w:t>
                  </w:r>
                </w:p>
              </w:tc>
              <w:tc>
                <w:tcPr>
                  <w:tcW w:w="3744" w:type="dxa"/>
                  <w:tcBorders>
                    <w:top w:val="single" w:color="595959" w:themeColor="text1" w:themeTint="A5" w:sz="4" w:space="0"/>
                    <w:left w:val="single" w:color="595959" w:themeColor="text1" w:themeTint="A5" w:sz="4" w:space="0"/>
                    <w:right w:val="single" w:color="595959" w:themeColor="text1" w:themeTint="A5" w:sz="4" w:space="0"/>
                  </w:tcBorders>
                </w:tcPr>
                <w:p w14:paraId="15EE4D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说明</w:t>
                  </w:r>
                </w:p>
              </w:tc>
            </w:tr>
            <w:tr w14:paraId="5F760689">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347" w:hRule="atLeast"/>
                <w:jc w:val="center"/>
              </w:trPr>
              <w:tc>
                <w:tcPr>
                  <w:tcW w:w="246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14:paraId="35310A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D2</w:t>
                  </w:r>
                </w:p>
              </w:tc>
              <w:tc>
                <w:tcPr>
                  <w:tcW w:w="3539"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14:paraId="17C9DC8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必消明细:打包价258</w:t>
                  </w:r>
                  <w:r>
                    <w:rPr>
                      <w:rFonts w:hint="eastAsia" w:ascii="微软雅黑" w:hAnsi="微软雅黑" w:eastAsia="微软雅黑" w:cs="微软雅黑"/>
                      <w:sz w:val="21"/>
                      <w:szCs w:val="21"/>
                      <w:lang w:val="en-US" w:eastAsia="zh-CN"/>
                    </w:rPr>
                    <w:t>元/人=乌江画廊</w:t>
                  </w:r>
                  <w:r>
                    <w:rPr>
                      <w:rFonts w:hint="default" w:ascii="微软雅黑" w:hAnsi="微软雅黑" w:eastAsia="微软雅黑" w:cs="微软雅黑"/>
                      <w:sz w:val="21"/>
                      <w:szCs w:val="21"/>
                      <w:lang w:val="en-US" w:eastAsia="zh-CN"/>
                    </w:rPr>
                    <w:t>游船188</w:t>
                  </w:r>
                  <w:r>
                    <w:rPr>
                      <w:rFonts w:hint="eastAsia" w:ascii="微软雅黑" w:hAnsi="微软雅黑" w:eastAsia="微软雅黑" w:cs="微软雅黑"/>
                      <w:sz w:val="21"/>
                      <w:szCs w:val="21"/>
                      <w:lang w:val="en-US" w:eastAsia="zh-CN"/>
                    </w:rPr>
                    <w:t>元/人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天生三桥景区换车40元/人+旋转电梯45元/人</w:t>
                  </w:r>
                </w:p>
              </w:tc>
              <w:tc>
                <w:tcPr>
                  <w:tcW w:w="3744" w:type="dxa"/>
                  <w:vMerge w:val="restart"/>
                  <w:tcBorders>
                    <w:top w:val="single" w:color="595959" w:themeColor="text1" w:themeTint="A5" w:sz="4" w:space="0"/>
                    <w:left w:val="single" w:color="595959" w:themeColor="text1" w:themeTint="A5" w:sz="4" w:space="0"/>
                    <w:right w:val="single" w:color="595959" w:themeColor="text1" w:themeTint="A5" w:sz="4" w:space="0"/>
                  </w:tcBorders>
                </w:tcPr>
                <w:p w14:paraId="26EC1B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p>
                <w:p w14:paraId="296B62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258</w:t>
                  </w:r>
                  <w:r>
                    <w:rPr>
                      <w:rFonts w:hint="eastAsia" w:ascii="微软雅黑" w:hAnsi="微软雅黑" w:eastAsia="微软雅黑" w:cs="微软雅黑"/>
                      <w:b/>
                      <w:bCs/>
                      <w:color w:val="FF0000"/>
                      <w:sz w:val="21"/>
                      <w:szCs w:val="21"/>
                    </w:rPr>
                    <w:t>元</w:t>
                  </w:r>
                  <w:r>
                    <w:rPr>
                      <w:rFonts w:hint="eastAsia" w:ascii="微软雅黑" w:hAnsi="微软雅黑" w:eastAsia="微软雅黑" w:cs="微软雅黑"/>
                      <w:b/>
                      <w:bCs/>
                      <w:color w:val="FF0000"/>
                      <w:sz w:val="21"/>
                      <w:szCs w:val="21"/>
                      <w:lang w:val="en-US" w:eastAsia="zh-CN"/>
                    </w:rPr>
                    <w:t>/人</w:t>
                  </w:r>
                  <w:r>
                    <w:rPr>
                      <w:rFonts w:hint="eastAsia" w:ascii="微软雅黑" w:hAnsi="微软雅黑" w:eastAsia="微软雅黑" w:cs="微软雅黑"/>
                      <w:b/>
                      <w:bCs/>
                      <w:color w:val="FF0000"/>
                      <w:sz w:val="21"/>
                      <w:szCs w:val="21"/>
                    </w:rPr>
                    <w:t>为景区必消交通！请落地交于导游处！！！</w:t>
                  </w:r>
                </w:p>
              </w:tc>
            </w:tr>
            <w:tr w14:paraId="5B83FF48">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347" w:hRule="atLeast"/>
                <w:jc w:val="center"/>
              </w:trPr>
              <w:tc>
                <w:tcPr>
                  <w:tcW w:w="246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14:paraId="7E71C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D</w:t>
                  </w:r>
                  <w:r>
                    <w:rPr>
                      <w:rFonts w:hint="eastAsia" w:ascii="微软雅黑" w:hAnsi="微软雅黑" w:eastAsia="微软雅黑" w:cs="微软雅黑"/>
                      <w:sz w:val="21"/>
                      <w:szCs w:val="21"/>
                      <w:lang w:val="en-US" w:eastAsia="zh-CN"/>
                    </w:rPr>
                    <w:t>2/3/4</w:t>
                  </w:r>
                </w:p>
              </w:tc>
              <w:tc>
                <w:tcPr>
                  <w:tcW w:w="3539"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1673A87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lang w:val="en-US" w:eastAsia="zh-CN"/>
                    </w:rPr>
                    <w:t>天生三桥电瓶车15和仙女山小火车25自愿消费项目</w:t>
                  </w:r>
                </w:p>
              </w:tc>
              <w:tc>
                <w:tcPr>
                  <w:tcW w:w="3744" w:type="dxa"/>
                  <w:vMerge w:val="continue"/>
                  <w:tcBorders>
                    <w:left w:val="single" w:color="595959" w:themeColor="text1" w:themeTint="A5" w:sz="4" w:space="0"/>
                    <w:right w:val="single" w:color="595959" w:themeColor="text1" w:themeTint="A5" w:sz="4" w:space="0"/>
                  </w:tcBorders>
                </w:tcPr>
                <w:p w14:paraId="4F5E54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p>
              </w:tc>
            </w:tr>
          </w:tbl>
          <w:p w14:paraId="0C695F6E">
            <w:pPr>
              <w:keepNext w:val="0"/>
              <w:keepLines w:val="0"/>
              <w:pageBreakBefore w:val="0"/>
              <w:widowControl w:val="0"/>
              <w:kinsoku/>
              <w:wordWrap/>
              <w:overflowPunct/>
              <w:topLinePunct w:val="0"/>
              <w:autoSpaceDE/>
              <w:autoSpaceDN/>
              <w:bidi w:val="0"/>
              <w:adjustRightInd/>
              <w:snapToGrid/>
              <w:spacing w:line="360" w:lineRule="exact"/>
              <w:ind w:left="420" w:left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我已阅读并充分理解补充条款（一、二）所有内容，并愿意在友好、平等、自愿的情况下确认：</w:t>
            </w:r>
          </w:p>
          <w:p w14:paraId="0556BA9F">
            <w:pPr>
              <w:pStyle w:val="17"/>
              <w:keepNext w:val="0"/>
              <w:keepLines w:val="0"/>
              <w:pageBreakBefore w:val="0"/>
              <w:widowControl w:val="0"/>
              <w:numPr>
                <w:ilvl w:val="1"/>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此次行程的购物相关、自费特色、自理项目事宜及相关风险对我进行了全面的告知、提醒。我经慎重考虑后，自愿前往上述购物场所购买商品，自愿按照自己喜好参加自费和自理项目，旅行社并无强迫。</w:t>
            </w:r>
          </w:p>
          <w:p w14:paraId="36F8F925">
            <w:pPr>
              <w:pStyle w:val="17"/>
              <w:keepNext w:val="0"/>
              <w:keepLines w:val="0"/>
              <w:pageBreakBefore w:val="0"/>
              <w:widowControl w:val="0"/>
              <w:numPr>
                <w:ilvl w:val="1"/>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我承诺将按照导游提醒办理相关事宜，并遵循旅行社的提示理性消费、注意保留购物单据、注意自身人身财产安全。如因自身原因取消或因旅行社不能控制因素无法安排的，对旅行社予以理解。</w:t>
            </w:r>
          </w:p>
          <w:p w14:paraId="06ECF467">
            <w:pPr>
              <w:pStyle w:val="17"/>
              <w:keepNext w:val="0"/>
              <w:keepLines w:val="0"/>
              <w:pageBreakBefore w:val="0"/>
              <w:widowControl w:val="0"/>
              <w:numPr>
                <w:ilvl w:val="1"/>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我同意《合同补充条款》作为双方签署的旅游合同不可分割的组成部分。</w:t>
            </w:r>
          </w:p>
          <w:p w14:paraId="10483E13">
            <w:pPr>
              <w:pStyle w:val="17"/>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甲方代表（旅游者）：                                乙方（旅行社）：</w:t>
            </w:r>
          </w:p>
          <w:p w14:paraId="33087BE1">
            <w:pPr>
              <w:keepNext w:val="0"/>
              <w:keepLines w:val="0"/>
              <w:pageBreakBefore w:val="0"/>
              <w:widowControl w:val="0"/>
              <w:kinsoku/>
              <w:wordWrap/>
              <w:overflowPunct/>
              <w:topLinePunct w:val="0"/>
              <w:autoSpaceDE/>
              <w:autoSpaceDN/>
              <w:bidi w:val="0"/>
              <w:adjustRightInd/>
              <w:snapToGrid/>
              <w:spacing w:before="62" w:beforeLines="20" w:after="156" w:afterLines="50" w:line="360" w:lineRule="exact"/>
              <w:ind w:left="630" w:leftChars="300" w:right="86" w:rightChars="41"/>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有效身份证：                                       签约代表：</w:t>
            </w:r>
          </w:p>
          <w:p w14:paraId="43D6CD50">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sz w:val="21"/>
                <w:szCs w:val="21"/>
                <w:lang w:eastAsia="zh-CN"/>
              </w:rPr>
            </w:pPr>
            <w:r>
              <w:rPr>
                <w:rFonts w:hint="eastAsia" w:ascii="微软雅黑" w:hAnsi="微软雅黑" w:eastAsia="微软雅黑" w:cs="微软雅黑"/>
                <w:b/>
                <w:bCs/>
                <w:sz w:val="21"/>
                <w:szCs w:val="21"/>
              </w:rPr>
              <w:t>有效联系电话：                                     联系电话：</w:t>
            </w:r>
          </w:p>
          <w:p w14:paraId="0FAD637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p>
        </w:tc>
      </w:tr>
    </w:tbl>
    <w:p w14:paraId="0EAB06CC">
      <w:pPr>
        <w:pStyle w:val="11"/>
        <w:ind w:left="0" w:leftChars="0" w:firstLine="0" w:firstLineChars="0"/>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702A0"/>
    <w:multiLevelType w:val="singleLevel"/>
    <w:tmpl w:val="D38702A0"/>
    <w:lvl w:ilvl="0" w:tentative="0">
      <w:start w:val="1"/>
      <w:numFmt w:val="decimal"/>
      <w:suff w:val="nothing"/>
      <w:lvlText w:val="%1、"/>
      <w:lvlJc w:val="left"/>
    </w:lvl>
  </w:abstractNum>
  <w:abstractNum w:abstractNumId="1">
    <w:nsid w:val="579D5E8A"/>
    <w:multiLevelType w:val="multilevel"/>
    <w:tmpl w:val="579D5E8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436AAF"/>
    <w:multiLevelType w:val="multilevel"/>
    <w:tmpl w:val="71436A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01AE9"/>
    <w:rsid w:val="00117133"/>
    <w:rsid w:val="001567CF"/>
    <w:rsid w:val="00163CA2"/>
    <w:rsid w:val="00186498"/>
    <w:rsid w:val="00281AF2"/>
    <w:rsid w:val="00285C6A"/>
    <w:rsid w:val="002D2CD8"/>
    <w:rsid w:val="002F2F72"/>
    <w:rsid w:val="00340631"/>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3212"/>
    <w:rsid w:val="011C4CF6"/>
    <w:rsid w:val="014270DC"/>
    <w:rsid w:val="0157064E"/>
    <w:rsid w:val="0215330B"/>
    <w:rsid w:val="02492FB3"/>
    <w:rsid w:val="024B505A"/>
    <w:rsid w:val="028265A2"/>
    <w:rsid w:val="02FC0103"/>
    <w:rsid w:val="032D0FCD"/>
    <w:rsid w:val="03343D40"/>
    <w:rsid w:val="034E7440"/>
    <w:rsid w:val="0378130B"/>
    <w:rsid w:val="037936EC"/>
    <w:rsid w:val="03950B8B"/>
    <w:rsid w:val="03A87411"/>
    <w:rsid w:val="040F1E36"/>
    <w:rsid w:val="04AD7E25"/>
    <w:rsid w:val="04DD7012"/>
    <w:rsid w:val="05077321"/>
    <w:rsid w:val="050A2905"/>
    <w:rsid w:val="05784549"/>
    <w:rsid w:val="05BB103F"/>
    <w:rsid w:val="05C8291B"/>
    <w:rsid w:val="05D709B3"/>
    <w:rsid w:val="05EB75A5"/>
    <w:rsid w:val="067526A6"/>
    <w:rsid w:val="06897EFF"/>
    <w:rsid w:val="06A27213"/>
    <w:rsid w:val="06BA3154"/>
    <w:rsid w:val="06C8688F"/>
    <w:rsid w:val="06CE6366"/>
    <w:rsid w:val="06D25850"/>
    <w:rsid w:val="0704296D"/>
    <w:rsid w:val="07134710"/>
    <w:rsid w:val="072C1A93"/>
    <w:rsid w:val="073B1CE0"/>
    <w:rsid w:val="07723FAA"/>
    <w:rsid w:val="07AF3996"/>
    <w:rsid w:val="07D30491"/>
    <w:rsid w:val="07E9375F"/>
    <w:rsid w:val="080639DA"/>
    <w:rsid w:val="084251FA"/>
    <w:rsid w:val="08491191"/>
    <w:rsid w:val="08863B53"/>
    <w:rsid w:val="088B5A3D"/>
    <w:rsid w:val="089B2EF1"/>
    <w:rsid w:val="08E5797A"/>
    <w:rsid w:val="090D31F1"/>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ACF3F8F"/>
    <w:rsid w:val="0B4A3C17"/>
    <w:rsid w:val="0B5A630E"/>
    <w:rsid w:val="0B7C24E7"/>
    <w:rsid w:val="0B7F3A6A"/>
    <w:rsid w:val="0B9B10B5"/>
    <w:rsid w:val="0BA77FB4"/>
    <w:rsid w:val="0C096925"/>
    <w:rsid w:val="0C450D6C"/>
    <w:rsid w:val="0C6F3428"/>
    <w:rsid w:val="0C7E69E5"/>
    <w:rsid w:val="0CAA7F53"/>
    <w:rsid w:val="0CC76224"/>
    <w:rsid w:val="0CE63B48"/>
    <w:rsid w:val="0D5F66AE"/>
    <w:rsid w:val="0D6C10EE"/>
    <w:rsid w:val="0DC9323A"/>
    <w:rsid w:val="0E214EC1"/>
    <w:rsid w:val="0E4949A1"/>
    <w:rsid w:val="0E59465B"/>
    <w:rsid w:val="0E850379"/>
    <w:rsid w:val="0EF273CF"/>
    <w:rsid w:val="0F4470B9"/>
    <w:rsid w:val="0FE656DF"/>
    <w:rsid w:val="1014313F"/>
    <w:rsid w:val="10F16AE3"/>
    <w:rsid w:val="10F62635"/>
    <w:rsid w:val="11375BEE"/>
    <w:rsid w:val="11427B0D"/>
    <w:rsid w:val="11B34360"/>
    <w:rsid w:val="11CB0F33"/>
    <w:rsid w:val="12361B78"/>
    <w:rsid w:val="12B22AA0"/>
    <w:rsid w:val="12B620EE"/>
    <w:rsid w:val="12EF0A4F"/>
    <w:rsid w:val="13097623"/>
    <w:rsid w:val="13371388"/>
    <w:rsid w:val="136A4169"/>
    <w:rsid w:val="13A71B5C"/>
    <w:rsid w:val="13C66D1B"/>
    <w:rsid w:val="13EC55EC"/>
    <w:rsid w:val="13F66591"/>
    <w:rsid w:val="14321F2A"/>
    <w:rsid w:val="143C7B63"/>
    <w:rsid w:val="14622E02"/>
    <w:rsid w:val="150D1EBE"/>
    <w:rsid w:val="157A78D8"/>
    <w:rsid w:val="15B0279D"/>
    <w:rsid w:val="15B36F61"/>
    <w:rsid w:val="15D42860"/>
    <w:rsid w:val="15FF7837"/>
    <w:rsid w:val="161B15A8"/>
    <w:rsid w:val="16960D6D"/>
    <w:rsid w:val="16AF39B2"/>
    <w:rsid w:val="16F7733F"/>
    <w:rsid w:val="172A128B"/>
    <w:rsid w:val="179802C4"/>
    <w:rsid w:val="17A77194"/>
    <w:rsid w:val="17AB7D29"/>
    <w:rsid w:val="17AE51C3"/>
    <w:rsid w:val="17AF7A04"/>
    <w:rsid w:val="17B172B6"/>
    <w:rsid w:val="183B6DAB"/>
    <w:rsid w:val="18980476"/>
    <w:rsid w:val="189A56D0"/>
    <w:rsid w:val="18AB01A9"/>
    <w:rsid w:val="18BC4164"/>
    <w:rsid w:val="19F63A29"/>
    <w:rsid w:val="1A066980"/>
    <w:rsid w:val="1A0E09F0"/>
    <w:rsid w:val="1A18361C"/>
    <w:rsid w:val="1A22147D"/>
    <w:rsid w:val="1A4B1305"/>
    <w:rsid w:val="1AA41354"/>
    <w:rsid w:val="1B4A6010"/>
    <w:rsid w:val="1BA04EFC"/>
    <w:rsid w:val="1BEF60E3"/>
    <w:rsid w:val="1C2F10F1"/>
    <w:rsid w:val="1C396506"/>
    <w:rsid w:val="1C3E1334"/>
    <w:rsid w:val="1C4C0D55"/>
    <w:rsid w:val="1C6F14EE"/>
    <w:rsid w:val="1CA647A6"/>
    <w:rsid w:val="1CA66D5E"/>
    <w:rsid w:val="1CED73D2"/>
    <w:rsid w:val="1D185ADC"/>
    <w:rsid w:val="1D5C01C9"/>
    <w:rsid w:val="1D9751A0"/>
    <w:rsid w:val="1DCC5DB6"/>
    <w:rsid w:val="1E081BFA"/>
    <w:rsid w:val="1E0C0C3B"/>
    <w:rsid w:val="1E3501C4"/>
    <w:rsid w:val="1E841FFE"/>
    <w:rsid w:val="1E9D0A15"/>
    <w:rsid w:val="1EB745CA"/>
    <w:rsid w:val="1F220A99"/>
    <w:rsid w:val="1F244811"/>
    <w:rsid w:val="1F246147"/>
    <w:rsid w:val="1F4D65B6"/>
    <w:rsid w:val="1FBC28E0"/>
    <w:rsid w:val="200F7270"/>
    <w:rsid w:val="2020322B"/>
    <w:rsid w:val="205B6E3B"/>
    <w:rsid w:val="209113C6"/>
    <w:rsid w:val="20995C21"/>
    <w:rsid w:val="20BD60E0"/>
    <w:rsid w:val="20D032CF"/>
    <w:rsid w:val="21090163"/>
    <w:rsid w:val="21822473"/>
    <w:rsid w:val="21B76F72"/>
    <w:rsid w:val="221C5C74"/>
    <w:rsid w:val="22233137"/>
    <w:rsid w:val="22244B28"/>
    <w:rsid w:val="22464DDD"/>
    <w:rsid w:val="225C2514"/>
    <w:rsid w:val="22840166"/>
    <w:rsid w:val="22E06CA1"/>
    <w:rsid w:val="22E744D4"/>
    <w:rsid w:val="23130E25"/>
    <w:rsid w:val="237631AA"/>
    <w:rsid w:val="23D5466C"/>
    <w:rsid w:val="23E40D09"/>
    <w:rsid w:val="240750C5"/>
    <w:rsid w:val="246E17E8"/>
    <w:rsid w:val="24AD7057"/>
    <w:rsid w:val="257A557F"/>
    <w:rsid w:val="25986633"/>
    <w:rsid w:val="25C27A8F"/>
    <w:rsid w:val="25E371D4"/>
    <w:rsid w:val="26685F11"/>
    <w:rsid w:val="268E7C92"/>
    <w:rsid w:val="26A435E6"/>
    <w:rsid w:val="27026F8E"/>
    <w:rsid w:val="2722676E"/>
    <w:rsid w:val="273870AC"/>
    <w:rsid w:val="27914A0E"/>
    <w:rsid w:val="27A537A4"/>
    <w:rsid w:val="27B15B9B"/>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1AB9"/>
    <w:rsid w:val="2A397D52"/>
    <w:rsid w:val="2A4915D0"/>
    <w:rsid w:val="2A4B564D"/>
    <w:rsid w:val="2AAB5DE7"/>
    <w:rsid w:val="2AED28A3"/>
    <w:rsid w:val="2BAB2B4A"/>
    <w:rsid w:val="2BCD6504"/>
    <w:rsid w:val="2BF57730"/>
    <w:rsid w:val="2C493A17"/>
    <w:rsid w:val="2CB96718"/>
    <w:rsid w:val="2CE850D0"/>
    <w:rsid w:val="2CF439DB"/>
    <w:rsid w:val="2D17387B"/>
    <w:rsid w:val="2D234CF5"/>
    <w:rsid w:val="2D7050C6"/>
    <w:rsid w:val="2D7B4196"/>
    <w:rsid w:val="2DA84860"/>
    <w:rsid w:val="2DC860A6"/>
    <w:rsid w:val="2DF67CC1"/>
    <w:rsid w:val="2E344345"/>
    <w:rsid w:val="2E3D1DA2"/>
    <w:rsid w:val="2EAC18EC"/>
    <w:rsid w:val="2EC75720"/>
    <w:rsid w:val="2EDE4234"/>
    <w:rsid w:val="2EE948D6"/>
    <w:rsid w:val="2EF53261"/>
    <w:rsid w:val="2F046E1E"/>
    <w:rsid w:val="2F357C66"/>
    <w:rsid w:val="2F4F4441"/>
    <w:rsid w:val="2F776BDF"/>
    <w:rsid w:val="2FE11772"/>
    <w:rsid w:val="304F7202"/>
    <w:rsid w:val="309729E7"/>
    <w:rsid w:val="30AA08EF"/>
    <w:rsid w:val="30BA4CEE"/>
    <w:rsid w:val="30D42767"/>
    <w:rsid w:val="30D46F5D"/>
    <w:rsid w:val="30DF0305"/>
    <w:rsid w:val="30DF67EA"/>
    <w:rsid w:val="31442AF1"/>
    <w:rsid w:val="315D7DA4"/>
    <w:rsid w:val="31646571"/>
    <w:rsid w:val="31732047"/>
    <w:rsid w:val="319A0FE4"/>
    <w:rsid w:val="31F10857"/>
    <w:rsid w:val="321C2BAF"/>
    <w:rsid w:val="329D070B"/>
    <w:rsid w:val="32A3555E"/>
    <w:rsid w:val="32C2475E"/>
    <w:rsid w:val="331B16C0"/>
    <w:rsid w:val="33261046"/>
    <w:rsid w:val="332B5883"/>
    <w:rsid w:val="33641229"/>
    <w:rsid w:val="33784CD4"/>
    <w:rsid w:val="33963A1E"/>
    <w:rsid w:val="33DD2C4D"/>
    <w:rsid w:val="33FC4F3D"/>
    <w:rsid w:val="340C3D9A"/>
    <w:rsid w:val="342E081E"/>
    <w:rsid w:val="358C22F5"/>
    <w:rsid w:val="36276C4F"/>
    <w:rsid w:val="36752810"/>
    <w:rsid w:val="36894CC2"/>
    <w:rsid w:val="368B5EE8"/>
    <w:rsid w:val="3710594F"/>
    <w:rsid w:val="371B773A"/>
    <w:rsid w:val="37305A51"/>
    <w:rsid w:val="37387AE2"/>
    <w:rsid w:val="373D289B"/>
    <w:rsid w:val="37FA789F"/>
    <w:rsid w:val="37FF748C"/>
    <w:rsid w:val="381F242D"/>
    <w:rsid w:val="3901371D"/>
    <w:rsid w:val="39044985"/>
    <w:rsid w:val="39447B32"/>
    <w:rsid w:val="39B44CE2"/>
    <w:rsid w:val="39D4252A"/>
    <w:rsid w:val="39ED3ED1"/>
    <w:rsid w:val="3A281202"/>
    <w:rsid w:val="3A3A0F35"/>
    <w:rsid w:val="3A9665B5"/>
    <w:rsid w:val="3A9D0D8B"/>
    <w:rsid w:val="3AB309C7"/>
    <w:rsid w:val="3ABE3914"/>
    <w:rsid w:val="3AEF3ACE"/>
    <w:rsid w:val="3B9A7EDD"/>
    <w:rsid w:val="3BB05953"/>
    <w:rsid w:val="3BEE365F"/>
    <w:rsid w:val="3C0C0AA1"/>
    <w:rsid w:val="3C1167A1"/>
    <w:rsid w:val="3C164A8D"/>
    <w:rsid w:val="3C4D011D"/>
    <w:rsid w:val="3C4D0BAB"/>
    <w:rsid w:val="3C5710E9"/>
    <w:rsid w:val="3C695C95"/>
    <w:rsid w:val="3CB7466E"/>
    <w:rsid w:val="3D7B3D3F"/>
    <w:rsid w:val="3DA74B34"/>
    <w:rsid w:val="3DC03CDE"/>
    <w:rsid w:val="3E5F22F2"/>
    <w:rsid w:val="3E6413E1"/>
    <w:rsid w:val="3F1407B5"/>
    <w:rsid w:val="3F1E55F3"/>
    <w:rsid w:val="3F440007"/>
    <w:rsid w:val="3F591E5E"/>
    <w:rsid w:val="3F690C94"/>
    <w:rsid w:val="3F711169"/>
    <w:rsid w:val="3F895B21"/>
    <w:rsid w:val="3FA23805"/>
    <w:rsid w:val="3FC93043"/>
    <w:rsid w:val="406B3968"/>
    <w:rsid w:val="406F4F58"/>
    <w:rsid w:val="40767A01"/>
    <w:rsid w:val="40B04456"/>
    <w:rsid w:val="40FB5581"/>
    <w:rsid w:val="4119604E"/>
    <w:rsid w:val="41554B3E"/>
    <w:rsid w:val="41A173F0"/>
    <w:rsid w:val="4226335B"/>
    <w:rsid w:val="42601C60"/>
    <w:rsid w:val="428E46BB"/>
    <w:rsid w:val="429152B6"/>
    <w:rsid w:val="429945EC"/>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5F41FD"/>
    <w:rsid w:val="46A00465"/>
    <w:rsid w:val="46A7540A"/>
    <w:rsid w:val="471D67E3"/>
    <w:rsid w:val="4762127A"/>
    <w:rsid w:val="47830661"/>
    <w:rsid w:val="47B65536"/>
    <w:rsid w:val="47EA5D88"/>
    <w:rsid w:val="47F210A1"/>
    <w:rsid w:val="48030BB8"/>
    <w:rsid w:val="481C1C7A"/>
    <w:rsid w:val="4836317F"/>
    <w:rsid w:val="48517B76"/>
    <w:rsid w:val="486648F5"/>
    <w:rsid w:val="487842FA"/>
    <w:rsid w:val="48B6105C"/>
    <w:rsid w:val="48E63442"/>
    <w:rsid w:val="495D72B2"/>
    <w:rsid w:val="4976505A"/>
    <w:rsid w:val="49B64CFA"/>
    <w:rsid w:val="49E60792"/>
    <w:rsid w:val="49ED548C"/>
    <w:rsid w:val="49F161BC"/>
    <w:rsid w:val="4A007AA5"/>
    <w:rsid w:val="4A4A4481"/>
    <w:rsid w:val="4A4C4A99"/>
    <w:rsid w:val="4A590F64"/>
    <w:rsid w:val="4A5B700A"/>
    <w:rsid w:val="4A7711F3"/>
    <w:rsid w:val="4A88568C"/>
    <w:rsid w:val="4B4439C2"/>
    <w:rsid w:val="4B711B74"/>
    <w:rsid w:val="4BF950AC"/>
    <w:rsid w:val="4C212059"/>
    <w:rsid w:val="4C25217B"/>
    <w:rsid w:val="4C604B48"/>
    <w:rsid w:val="4C813A93"/>
    <w:rsid w:val="4C887A2D"/>
    <w:rsid w:val="4CA87F80"/>
    <w:rsid w:val="4CAA1F4A"/>
    <w:rsid w:val="4CB521FE"/>
    <w:rsid w:val="4CDB3060"/>
    <w:rsid w:val="4CF0081A"/>
    <w:rsid w:val="4D1C581A"/>
    <w:rsid w:val="4D576E1A"/>
    <w:rsid w:val="4D5D122C"/>
    <w:rsid w:val="4D832CE2"/>
    <w:rsid w:val="4D866514"/>
    <w:rsid w:val="4DC834CB"/>
    <w:rsid w:val="4DCD52CE"/>
    <w:rsid w:val="4E9F478C"/>
    <w:rsid w:val="4ED93AEE"/>
    <w:rsid w:val="4EDD04F7"/>
    <w:rsid w:val="4EF30950"/>
    <w:rsid w:val="4F0202B4"/>
    <w:rsid w:val="4F2D45BF"/>
    <w:rsid w:val="4F3802E4"/>
    <w:rsid w:val="4F5F5742"/>
    <w:rsid w:val="4F7F2836"/>
    <w:rsid w:val="4F8B1BBF"/>
    <w:rsid w:val="4F8E75F4"/>
    <w:rsid w:val="4FA02EC7"/>
    <w:rsid w:val="503735A8"/>
    <w:rsid w:val="50526B81"/>
    <w:rsid w:val="508D440A"/>
    <w:rsid w:val="5103733B"/>
    <w:rsid w:val="511E308E"/>
    <w:rsid w:val="51217D24"/>
    <w:rsid w:val="5153495F"/>
    <w:rsid w:val="51560851"/>
    <w:rsid w:val="51E20802"/>
    <w:rsid w:val="521E562C"/>
    <w:rsid w:val="523C2D3F"/>
    <w:rsid w:val="523C53F3"/>
    <w:rsid w:val="525635A3"/>
    <w:rsid w:val="52926B8C"/>
    <w:rsid w:val="52F03774"/>
    <w:rsid w:val="53762B86"/>
    <w:rsid w:val="538B0C1D"/>
    <w:rsid w:val="53C84C9E"/>
    <w:rsid w:val="540602EE"/>
    <w:rsid w:val="543D41FB"/>
    <w:rsid w:val="548E5CAE"/>
    <w:rsid w:val="54C97A24"/>
    <w:rsid w:val="54EC6085"/>
    <w:rsid w:val="551A3EF8"/>
    <w:rsid w:val="556A2277"/>
    <w:rsid w:val="55910BDE"/>
    <w:rsid w:val="55CF021E"/>
    <w:rsid w:val="55D93D68"/>
    <w:rsid w:val="561720BD"/>
    <w:rsid w:val="56230CC5"/>
    <w:rsid w:val="56405548"/>
    <w:rsid w:val="565076BF"/>
    <w:rsid w:val="56511950"/>
    <w:rsid w:val="56693A34"/>
    <w:rsid w:val="56891D8F"/>
    <w:rsid w:val="56C02F6A"/>
    <w:rsid w:val="570D43E2"/>
    <w:rsid w:val="57212E09"/>
    <w:rsid w:val="57284198"/>
    <w:rsid w:val="57C31B98"/>
    <w:rsid w:val="57CB0140"/>
    <w:rsid w:val="57E463C7"/>
    <w:rsid w:val="57F74D93"/>
    <w:rsid w:val="580C3794"/>
    <w:rsid w:val="584B455E"/>
    <w:rsid w:val="58744AC1"/>
    <w:rsid w:val="58B61A9D"/>
    <w:rsid w:val="58C33C5A"/>
    <w:rsid w:val="58CC3EAD"/>
    <w:rsid w:val="58F12E9E"/>
    <w:rsid w:val="596C2917"/>
    <w:rsid w:val="59AC2042"/>
    <w:rsid w:val="59DF74B6"/>
    <w:rsid w:val="59F91E1B"/>
    <w:rsid w:val="59FB721F"/>
    <w:rsid w:val="5A596CA5"/>
    <w:rsid w:val="5A71367A"/>
    <w:rsid w:val="5ABA5A4E"/>
    <w:rsid w:val="5B1B1D9F"/>
    <w:rsid w:val="5B312324"/>
    <w:rsid w:val="5B323837"/>
    <w:rsid w:val="5B3F1E91"/>
    <w:rsid w:val="5B813524"/>
    <w:rsid w:val="5BA15B7C"/>
    <w:rsid w:val="5BAA265C"/>
    <w:rsid w:val="5BB1219F"/>
    <w:rsid w:val="5BC326E1"/>
    <w:rsid w:val="5BF37E5F"/>
    <w:rsid w:val="5C124D16"/>
    <w:rsid w:val="5C582767"/>
    <w:rsid w:val="5CC42BB4"/>
    <w:rsid w:val="5CF657CD"/>
    <w:rsid w:val="5D343E68"/>
    <w:rsid w:val="5D395EF9"/>
    <w:rsid w:val="5D460992"/>
    <w:rsid w:val="5DD4636B"/>
    <w:rsid w:val="5E856373"/>
    <w:rsid w:val="5EA17CC3"/>
    <w:rsid w:val="5EAF3E6C"/>
    <w:rsid w:val="5F3B0C4C"/>
    <w:rsid w:val="5F744E64"/>
    <w:rsid w:val="5FA76558"/>
    <w:rsid w:val="6018347B"/>
    <w:rsid w:val="60C73DE5"/>
    <w:rsid w:val="60EA73D6"/>
    <w:rsid w:val="61087AC3"/>
    <w:rsid w:val="61151C31"/>
    <w:rsid w:val="611F5C50"/>
    <w:rsid w:val="6133198D"/>
    <w:rsid w:val="617E0AF8"/>
    <w:rsid w:val="619304B3"/>
    <w:rsid w:val="61B45EE6"/>
    <w:rsid w:val="61B57C03"/>
    <w:rsid w:val="62305F56"/>
    <w:rsid w:val="63006B79"/>
    <w:rsid w:val="630261E5"/>
    <w:rsid w:val="63600E30"/>
    <w:rsid w:val="637C1DF3"/>
    <w:rsid w:val="63D12988"/>
    <w:rsid w:val="63D342E8"/>
    <w:rsid w:val="640D5BAD"/>
    <w:rsid w:val="642C1302"/>
    <w:rsid w:val="643804CC"/>
    <w:rsid w:val="645E744B"/>
    <w:rsid w:val="652A2C5E"/>
    <w:rsid w:val="65962C14"/>
    <w:rsid w:val="65AE41C1"/>
    <w:rsid w:val="65B95839"/>
    <w:rsid w:val="65CB7234"/>
    <w:rsid w:val="65DC23AC"/>
    <w:rsid w:val="664D50DC"/>
    <w:rsid w:val="66872646"/>
    <w:rsid w:val="66935810"/>
    <w:rsid w:val="669D3B0F"/>
    <w:rsid w:val="66AC566C"/>
    <w:rsid w:val="67253A12"/>
    <w:rsid w:val="672E5BEB"/>
    <w:rsid w:val="677F50DB"/>
    <w:rsid w:val="678A07EE"/>
    <w:rsid w:val="67A4786A"/>
    <w:rsid w:val="67B67376"/>
    <w:rsid w:val="67CF59B1"/>
    <w:rsid w:val="67E62186"/>
    <w:rsid w:val="67F95923"/>
    <w:rsid w:val="688B5C95"/>
    <w:rsid w:val="68920D7B"/>
    <w:rsid w:val="68AB4C28"/>
    <w:rsid w:val="691335F2"/>
    <w:rsid w:val="69362744"/>
    <w:rsid w:val="693B41FE"/>
    <w:rsid w:val="694F4AE2"/>
    <w:rsid w:val="696401FF"/>
    <w:rsid w:val="699A749A"/>
    <w:rsid w:val="69AA7668"/>
    <w:rsid w:val="69C60062"/>
    <w:rsid w:val="6A206802"/>
    <w:rsid w:val="6AF7140F"/>
    <w:rsid w:val="6B4328E0"/>
    <w:rsid w:val="6B7F494F"/>
    <w:rsid w:val="6B8D6287"/>
    <w:rsid w:val="6BC51A85"/>
    <w:rsid w:val="6BD1058C"/>
    <w:rsid w:val="6BD603FA"/>
    <w:rsid w:val="6BE57596"/>
    <w:rsid w:val="6C4F545A"/>
    <w:rsid w:val="6C7A0A07"/>
    <w:rsid w:val="6CED3119"/>
    <w:rsid w:val="6D091E11"/>
    <w:rsid w:val="6DA4008B"/>
    <w:rsid w:val="6DD9064C"/>
    <w:rsid w:val="6DF130DE"/>
    <w:rsid w:val="6E652F74"/>
    <w:rsid w:val="6F20013B"/>
    <w:rsid w:val="6F7715DA"/>
    <w:rsid w:val="6FB87AD8"/>
    <w:rsid w:val="703B6CD7"/>
    <w:rsid w:val="71D37635"/>
    <w:rsid w:val="722A21C5"/>
    <w:rsid w:val="72600832"/>
    <w:rsid w:val="72BC780D"/>
    <w:rsid w:val="72C62AA1"/>
    <w:rsid w:val="72C75081"/>
    <w:rsid w:val="72EB27F1"/>
    <w:rsid w:val="72F851A0"/>
    <w:rsid w:val="73195863"/>
    <w:rsid w:val="73B250BD"/>
    <w:rsid w:val="73CE3E28"/>
    <w:rsid w:val="74065409"/>
    <w:rsid w:val="743D4317"/>
    <w:rsid w:val="74CC21AE"/>
    <w:rsid w:val="74DD4D17"/>
    <w:rsid w:val="74EE6EA4"/>
    <w:rsid w:val="74FB715A"/>
    <w:rsid w:val="750B7969"/>
    <w:rsid w:val="75242E64"/>
    <w:rsid w:val="7530273D"/>
    <w:rsid w:val="753627B5"/>
    <w:rsid w:val="753D37FC"/>
    <w:rsid w:val="75F9181C"/>
    <w:rsid w:val="76290CF7"/>
    <w:rsid w:val="768F7938"/>
    <w:rsid w:val="76A13980"/>
    <w:rsid w:val="76A82488"/>
    <w:rsid w:val="76D8308D"/>
    <w:rsid w:val="76F0652C"/>
    <w:rsid w:val="76F7344E"/>
    <w:rsid w:val="770F58C0"/>
    <w:rsid w:val="77221663"/>
    <w:rsid w:val="7731279D"/>
    <w:rsid w:val="77531EB4"/>
    <w:rsid w:val="777E2193"/>
    <w:rsid w:val="77E57235"/>
    <w:rsid w:val="77E93077"/>
    <w:rsid w:val="77EE068E"/>
    <w:rsid w:val="782C529D"/>
    <w:rsid w:val="787E5EB6"/>
    <w:rsid w:val="78E8447A"/>
    <w:rsid w:val="78F35532"/>
    <w:rsid w:val="78F665DB"/>
    <w:rsid w:val="792B2D90"/>
    <w:rsid w:val="795839D1"/>
    <w:rsid w:val="79600CBC"/>
    <w:rsid w:val="797C5E7C"/>
    <w:rsid w:val="798B5156"/>
    <w:rsid w:val="799176AF"/>
    <w:rsid w:val="7ADE0E8D"/>
    <w:rsid w:val="7AE42429"/>
    <w:rsid w:val="7AF2343F"/>
    <w:rsid w:val="7B2A1EE8"/>
    <w:rsid w:val="7B4E7DC1"/>
    <w:rsid w:val="7B6F5A5B"/>
    <w:rsid w:val="7BDE4262"/>
    <w:rsid w:val="7C087857"/>
    <w:rsid w:val="7C127041"/>
    <w:rsid w:val="7C971957"/>
    <w:rsid w:val="7C9832E5"/>
    <w:rsid w:val="7CBC3C46"/>
    <w:rsid w:val="7D027BEA"/>
    <w:rsid w:val="7D2F4E8F"/>
    <w:rsid w:val="7D5B2135"/>
    <w:rsid w:val="7D7A3790"/>
    <w:rsid w:val="7D7E5EC1"/>
    <w:rsid w:val="7DA66CC3"/>
    <w:rsid w:val="7DB0236B"/>
    <w:rsid w:val="7DB3215D"/>
    <w:rsid w:val="7DD53301"/>
    <w:rsid w:val="7DDF7215"/>
    <w:rsid w:val="7E2A7DC1"/>
    <w:rsid w:val="7EAE28A5"/>
    <w:rsid w:val="7EC64112"/>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0">
    <w:name w:val="Body Text First Indent"/>
    <w:basedOn w:val="3"/>
    <w:qFormat/>
    <w:uiPriority w:val="0"/>
    <w:pPr>
      <w:ind w:left="0" w:firstLine="420" w:firstLineChars="100"/>
    </w:pPr>
    <w:rPr>
      <w:rFonts w:ascii="Times New Roman" w:hAnsi="Times New Roman"/>
      <w:sz w:val="28"/>
      <w:szCs w:val="24"/>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basedOn w:val="14"/>
    <w:autoRedefine/>
    <w:qFormat/>
    <w:uiPriority w:val="0"/>
    <w:rPr>
      <w:color w:val="0000FF"/>
      <w:sz w:val="21"/>
      <w:szCs w:val="20"/>
      <w:u w:val="single"/>
    </w:rPr>
  </w:style>
  <w:style w:type="paragraph" w:styleId="17">
    <w:name w:val="List Paragraph"/>
    <w:basedOn w:val="1"/>
    <w:autoRedefine/>
    <w:qFormat/>
    <w:uiPriority w:val="34"/>
    <w:pPr>
      <w:ind w:firstLine="420" w:firstLineChars="200"/>
    </w:p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无"/>
    <w:basedOn w:val="14"/>
    <w:autoRedefine/>
    <w:qFormat/>
    <w:uiPriority w:val="0"/>
  </w:style>
  <w:style w:type="character" w:customStyle="1" w:styleId="22">
    <w:name w:val="明显参考1"/>
    <w:basedOn w:val="14"/>
    <w:autoRedefine/>
    <w:qFormat/>
    <w:uiPriority w:val="32"/>
    <w:rPr>
      <w:b/>
      <w:bCs/>
      <w:smallCaps/>
      <w:color w:val="C0504D" w:themeColor="accent2"/>
      <w:spacing w:val="5"/>
      <w:u w:val="single"/>
      <w14:textFill>
        <w14:solidFill>
          <w14:schemeClr w14:val="accent2"/>
        </w14:solidFill>
      </w14:textFill>
    </w:rPr>
  </w:style>
  <w:style w:type="paragraph" w:customStyle="1" w:styleId="2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6672</Words>
  <Characters>6793</Characters>
  <Lines>41</Lines>
  <Paragraphs>11</Paragraphs>
  <TotalTime>0</TotalTime>
  <ScaleCrop>false</ScaleCrop>
  <LinksUpToDate>false</LinksUpToDate>
  <CharactersWithSpaces>7178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2025-11-02T03:56:46Z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91A3216142B4481997E8ED0A6E662A12_13</vt:lpwstr>
  </property>
  <property fmtid="{D5CDD505-2E9C-101B-9397-08002B2CF9AE}" pid="5" name="KSOTemplateDocerSaveRecord">
    <vt:lpwstr>eyJoZGlkIjoiMmE0YmQyZThkMDNhOTk1MzM1Njg4M2U1ZjYyNjBjYjMiLCJ1c2VySWQiOiI2NTYxMjIzMDcifQ==</vt:lpwstr>
  </property>
</Properties>
</file>