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r>
        <w:rPr>
          <w:rFonts w:hint="eastAsia" w:ascii="宋体" w:hAnsi="宋体" w:cs="宋体"/>
          <w:kern w:val="0"/>
          <w:sz w:val="28"/>
          <w:szCs w:val="28"/>
          <w:lang w:eastAsia="zh-CN"/>
        </w:rPr>
        <w:drawing>
          <wp:anchor distT="0" distB="0" distL="114300" distR="114300" simplePos="0" relativeHeight="251664384" behindDoc="0" locked="0" layoutInCell="1" allowOverlap="1">
            <wp:simplePos x="0" y="0"/>
            <wp:positionH relativeFrom="column">
              <wp:posOffset>-221615</wp:posOffset>
            </wp:positionH>
            <wp:positionV relativeFrom="paragraph">
              <wp:posOffset>-358140</wp:posOffset>
            </wp:positionV>
            <wp:extent cx="7595235" cy="13094970"/>
            <wp:effectExtent l="0" t="0" r="5715" b="11430"/>
            <wp:wrapNone/>
            <wp:docPr id="1" name="图片 1" descr="奇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奇幻1"/>
                    <pic:cNvPicPr>
                      <a:picLocks noChangeAspect="1"/>
                    </pic:cNvPicPr>
                  </pic:nvPicPr>
                  <pic:blipFill>
                    <a:blip r:embed="rId6"/>
                    <a:stretch>
                      <a:fillRect/>
                    </a:stretch>
                  </pic:blipFill>
                  <pic:spPr>
                    <a:xfrm>
                      <a:off x="0" y="0"/>
                      <a:ext cx="7595235" cy="13094970"/>
                    </a:xfrm>
                    <a:prstGeom prst="rect">
                      <a:avLst/>
                    </a:prstGeom>
                  </pic:spPr>
                </pic:pic>
              </a:graphicData>
            </a:graphic>
          </wp:anchor>
        </w:drawing>
      </w:r>
      <w:bookmarkEnd w:id="0"/>
    </w:p>
    <w:p w14:paraId="1A780989">
      <w:pPr>
        <w:pStyle w:val="5"/>
        <w:jc w:val="both"/>
        <w:rPr>
          <w:rFonts w:hint="eastAsia"/>
          <w:lang w:eastAsia="zh-CN"/>
        </w:rPr>
      </w:pPr>
      <w:r>
        <w:drawing>
          <wp:anchor distT="0" distB="0" distL="114300" distR="114300" simplePos="0" relativeHeight="251659264" behindDoc="0" locked="0" layoutInCell="1" allowOverlap="1">
            <wp:simplePos x="0" y="0"/>
            <wp:positionH relativeFrom="column">
              <wp:posOffset>-208280</wp:posOffset>
            </wp:positionH>
            <wp:positionV relativeFrom="paragraph">
              <wp:posOffset>-444500</wp:posOffset>
            </wp:positionV>
            <wp:extent cx="7638415" cy="10804525"/>
            <wp:effectExtent l="0" t="0" r="635" b="15875"/>
            <wp:wrapNone/>
            <wp:docPr id="20" name="图片 6" descr="D:/桌面/九重紫/Mini重庆2.jpgMini重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D:/桌面/九重紫/Mini重庆2.jpgMini重庆2"/>
                    <pic:cNvPicPr>
                      <a:picLocks noChangeAspect="1"/>
                    </pic:cNvPicPr>
                  </pic:nvPicPr>
                  <pic:blipFill>
                    <a:blip r:embed="rId7"/>
                    <a:srcRect t="5" b="5"/>
                    <a:stretch>
                      <a:fillRect/>
                    </a:stretch>
                  </pic:blipFill>
                  <pic:spPr>
                    <a:xfrm>
                      <a:off x="0" y="0"/>
                      <a:ext cx="7638415" cy="10804525"/>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drawing>
          <wp:anchor distT="0" distB="0" distL="114300" distR="114300" simplePos="0" relativeHeight="251660288" behindDoc="0" locked="0" layoutInCell="1" allowOverlap="1">
            <wp:simplePos x="0" y="0"/>
            <wp:positionH relativeFrom="column">
              <wp:posOffset>-225425</wp:posOffset>
            </wp:positionH>
            <wp:positionV relativeFrom="paragraph">
              <wp:posOffset>-382270</wp:posOffset>
            </wp:positionV>
            <wp:extent cx="7554595" cy="10692130"/>
            <wp:effectExtent l="0" t="0" r="8255" b="13970"/>
            <wp:wrapNone/>
            <wp:docPr id="21" name="图片 7" descr="D:/桌面/九重紫/Mini重庆4.jpgMini重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D:/桌面/九重紫/Mini重庆4.jpgMini重庆4"/>
                    <pic:cNvPicPr>
                      <a:picLocks noChangeAspect="1"/>
                    </pic:cNvPicPr>
                  </pic:nvPicPr>
                  <pic:blipFill>
                    <a:blip r:embed="rId8"/>
                    <a:srcRect l="29" r="29"/>
                    <a:stretch>
                      <a:fillRect/>
                    </a:stretch>
                  </pic:blipFill>
                  <pic:spPr>
                    <a:xfrm>
                      <a:off x="0" y="0"/>
                      <a:ext cx="7554595" cy="10692130"/>
                    </a:xfrm>
                    <a:prstGeom prst="rect">
                      <a:avLst/>
                    </a:prstGeom>
                    <a:noFill/>
                    <a:ln>
                      <a:noFill/>
                    </a:ln>
                  </pic:spPr>
                </pic:pic>
              </a:graphicData>
            </a:graphic>
          </wp:anchor>
        </w:drawing>
      </w:r>
    </w:p>
    <w:p w14:paraId="01BC3A47">
      <w:pPr>
        <w:pStyle w:val="5"/>
        <w:rPr>
          <w:rFonts w:hint="eastAsia"/>
          <w:lang w:eastAsia="zh-CN"/>
        </w:rPr>
      </w:pPr>
    </w:p>
    <w:p w14:paraId="7AD8A2F7">
      <w:pPr>
        <w:pStyle w:val="5"/>
        <w:rPr>
          <w:rFonts w:hint="eastAsia"/>
          <w:lang w:eastAsia="zh-CN"/>
        </w:rPr>
      </w:pPr>
    </w:p>
    <w:p w14:paraId="000C8063">
      <w:pPr>
        <w:pStyle w:val="5"/>
        <w:rPr>
          <w:rFonts w:hint="eastAsia"/>
          <w:lang w:eastAsia="zh-CN"/>
        </w:rPr>
      </w:pPr>
    </w:p>
    <w:p w14:paraId="11BFDF09">
      <w:pPr>
        <w:pStyle w:val="5"/>
        <w:rPr>
          <w:rFonts w:hint="eastAsia"/>
          <w:lang w:eastAsia="zh-CN"/>
        </w:rPr>
      </w:pPr>
    </w:p>
    <w:p w14:paraId="1A64897E">
      <w:pPr>
        <w:pStyle w:val="5"/>
        <w:jc w:val="center"/>
        <w:rPr>
          <w:rFonts w:hint="eastAsia"/>
          <w:lang w:eastAsia="zh-CN"/>
        </w:rPr>
      </w:pPr>
    </w:p>
    <w:p w14:paraId="79A00190">
      <w:pPr>
        <w:pStyle w:val="5"/>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p w14:paraId="351CC414">
      <w:pPr>
        <w:rPr>
          <w:rFonts w:hint="default" w:ascii="微软雅黑" w:hAnsi="微软雅黑" w:eastAsia="微软雅黑" w:cs="微软雅黑"/>
          <w:color w:val="FFFFFF" w:themeColor="background1"/>
          <w:kern w:val="0"/>
          <w:sz w:val="18"/>
          <w:szCs w:val="18"/>
          <w:lang w:val="en-US" w:eastAsia="zh-CN"/>
          <w14:textFill>
            <w14:solidFill>
              <w14:schemeClr w14:val="bg1"/>
            </w14:solidFill>
          </w14:textFill>
        </w:rPr>
      </w:pPr>
      <w:r>
        <w:drawing>
          <wp:anchor distT="0" distB="0" distL="114300" distR="114300" simplePos="0" relativeHeight="251661312" behindDoc="0" locked="0" layoutInCell="1" allowOverlap="1">
            <wp:simplePos x="0" y="0"/>
            <wp:positionH relativeFrom="column">
              <wp:posOffset>-222885</wp:posOffset>
            </wp:positionH>
            <wp:positionV relativeFrom="paragraph">
              <wp:posOffset>-414020</wp:posOffset>
            </wp:positionV>
            <wp:extent cx="7554595" cy="10723880"/>
            <wp:effectExtent l="0" t="0" r="8255" b="1270"/>
            <wp:wrapNone/>
            <wp:docPr id="22" name="图片 8" descr="D:/桌面/九重紫/Mini重庆6.jpgMini重庆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D:/桌面/九重紫/Mini重庆6.jpgMini重庆6"/>
                    <pic:cNvPicPr>
                      <a:picLocks noChangeAspect="1"/>
                    </pic:cNvPicPr>
                  </pic:nvPicPr>
                  <pic:blipFill>
                    <a:blip r:embed="rId9"/>
                    <a:srcRect l="29" r="29"/>
                    <a:stretch>
                      <a:fillRect/>
                    </a:stretch>
                  </pic:blipFill>
                  <pic:spPr>
                    <a:xfrm>
                      <a:off x="0" y="0"/>
                      <a:ext cx="7554595" cy="10723880"/>
                    </a:xfrm>
                    <a:prstGeom prst="rect">
                      <a:avLst/>
                    </a:prstGeom>
                    <a:noFill/>
                    <a:ln>
                      <a:noFill/>
                    </a:ln>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drawing>
          <wp:anchor distT="0" distB="0" distL="114300" distR="114300" simplePos="0" relativeHeight="251662336" behindDoc="0" locked="0" layoutInCell="1" allowOverlap="1">
            <wp:simplePos x="0" y="0"/>
            <wp:positionH relativeFrom="column">
              <wp:posOffset>-212090</wp:posOffset>
            </wp:positionH>
            <wp:positionV relativeFrom="paragraph">
              <wp:posOffset>-393065</wp:posOffset>
            </wp:positionV>
            <wp:extent cx="7554595" cy="10692130"/>
            <wp:effectExtent l="0" t="0" r="8255" b="13970"/>
            <wp:wrapNone/>
            <wp:docPr id="23" name="图片 9" descr="D:/桌面/Mini重庆5.jpgMini重庆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D:/桌面/Mini重庆5.jpgMini重庆5"/>
                    <pic:cNvPicPr>
                      <a:picLocks noChangeAspect="1"/>
                    </pic:cNvPicPr>
                  </pic:nvPicPr>
                  <pic:blipFill>
                    <a:blip r:embed="rId10"/>
                    <a:srcRect l="29" r="29"/>
                    <a:stretch>
                      <a:fillRect/>
                    </a:stretch>
                  </pic:blipFill>
                  <pic:spPr>
                    <a:xfrm>
                      <a:off x="0" y="0"/>
                      <a:ext cx="7554595" cy="10692130"/>
                    </a:xfrm>
                    <a:prstGeom prst="rect">
                      <a:avLst/>
                    </a:prstGeom>
                    <a:noFill/>
                    <a:ln>
                      <a:noFill/>
                    </a:ln>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color w:val="FFFFFF" w:themeColor="background1"/>
          <w:kern w:val="0"/>
          <w:sz w:val="18"/>
          <w:szCs w:val="18"/>
          <w:lang w:val="en-US" w:eastAsia="zh-CN"/>
          <w14:textFill>
            <w14:solidFill>
              <w14:schemeClr w14:val="bg1"/>
            </w14:solidFill>
          </w14:textFill>
        </w:rPr>
        <w:t>+</w:t>
      </w:r>
    </w:p>
    <w:p w14:paraId="22F11968">
      <w:pPr>
        <w:pStyle w:val="5"/>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drawing>
          <wp:anchor distT="0" distB="0" distL="114300" distR="114300" simplePos="0" relativeHeight="251663360" behindDoc="0" locked="0" layoutInCell="1" allowOverlap="1">
            <wp:simplePos x="0" y="0"/>
            <wp:positionH relativeFrom="column">
              <wp:posOffset>-243840</wp:posOffset>
            </wp:positionH>
            <wp:positionV relativeFrom="paragraph">
              <wp:posOffset>-385445</wp:posOffset>
            </wp:positionV>
            <wp:extent cx="7554595" cy="10692130"/>
            <wp:effectExtent l="0" t="0" r="8255" b="13970"/>
            <wp:wrapNone/>
            <wp:docPr id="24" name="图片 10" descr="D:/桌面/九重紫/Mini重庆7.jpgMini重庆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D:/桌面/九重紫/Mini重庆7.jpgMini重庆7"/>
                    <pic:cNvPicPr>
                      <a:picLocks noChangeAspect="1"/>
                    </pic:cNvPicPr>
                  </pic:nvPicPr>
                  <pic:blipFill>
                    <a:blip r:embed="rId11"/>
                    <a:srcRect l="29" r="29"/>
                    <a:stretch>
                      <a:fillRect/>
                    </a:stretch>
                  </pic:blipFill>
                  <pic:spPr>
                    <a:xfrm>
                      <a:off x="0" y="0"/>
                      <a:ext cx="7554595" cy="10692130"/>
                    </a:xfrm>
                    <a:prstGeom prst="rect">
                      <a:avLst/>
                    </a:prstGeom>
                    <a:noFill/>
                    <a:ln>
                      <a:noFill/>
                    </a:ln>
                  </pic:spPr>
                </pic:pic>
              </a:graphicData>
            </a:graphic>
          </wp:anchor>
        </w:drawing>
      </w:r>
    </w:p>
    <w:p w14:paraId="7E610D98">
      <w:pPr>
        <w:pStyle w:val="5"/>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tbl>
      <w:tblPr>
        <w:tblStyle w:val="11"/>
        <w:tblpPr w:leftFromText="180" w:rightFromText="180" w:vertAnchor="page" w:horzAnchor="page" w:tblpX="196" w:tblpY="620"/>
        <w:tblW w:w="11683"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305"/>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83"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 xml:space="preserve">奇幻重庆 </w:t>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2-8人小包团</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仙女山/天生三桥/九黎城/乌江画廊/鹅岭二厂/弹子石老街/龙门浩·下浩里/第三步道/十八梯古镇/解放碑/洪崖洞/来福士广场/磁器口5日游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70E74888">
            <w:pPr>
              <w:keepNext w:val="0"/>
              <w:keepLines w:val="0"/>
              <w:pageBreakBefore w:val="0"/>
              <w:widowControl/>
              <w:kinsoku/>
              <w:wordWrap/>
              <w:overflowPunct/>
              <w:topLinePunct w:val="0"/>
              <w:autoSpaceDE/>
              <w:autoSpaceDN/>
              <w:bidi w:val="0"/>
              <w:adjustRightInd/>
              <w:snapToGrid/>
              <w:spacing w:line="360" w:lineRule="exact"/>
              <w:textAlignment w:val="auto"/>
              <w:rPr>
                <w:rFonts w:ascii="微软雅黑" w:hAnsi="微软雅黑" w:eastAsia="微软雅黑"/>
                <w:b/>
                <w:bCs/>
                <w:color w:val="000000"/>
              </w:rPr>
            </w:pPr>
            <w:r>
              <w:rPr>
                <w:rFonts w:hint="eastAsia" w:ascii="微软雅黑" w:hAnsi="微软雅黑" w:eastAsia="微软雅黑"/>
                <w:b/>
                <w:bCs/>
                <w:color w:val="FF0000"/>
              </w:rPr>
              <w:t>【小包团】</w:t>
            </w:r>
            <w:r>
              <w:rPr>
                <w:rFonts w:hint="eastAsia" w:ascii="微软雅黑" w:hAnsi="微软雅黑" w:eastAsia="微软雅黑"/>
                <w:b/>
                <w:bCs/>
                <w:color w:val="000000"/>
              </w:rPr>
              <w:t>2-8人精品小包拼团，土著带您玩！</w:t>
            </w:r>
          </w:p>
          <w:p w14:paraId="3FE67EE8">
            <w:pPr>
              <w:keepNext w:val="0"/>
              <w:keepLines w:val="0"/>
              <w:pageBreakBefore w:val="0"/>
              <w:widowControl/>
              <w:kinsoku/>
              <w:wordWrap/>
              <w:overflowPunct/>
              <w:topLinePunct w:val="0"/>
              <w:autoSpaceDE/>
              <w:autoSpaceDN/>
              <w:bidi w:val="0"/>
              <w:adjustRightInd/>
              <w:snapToGrid/>
              <w:spacing w:line="360" w:lineRule="exact"/>
              <w:ind w:right="-315" w:rightChars="-150"/>
              <w:textAlignment w:val="auto"/>
              <w:rPr>
                <w:rFonts w:ascii="微软雅黑" w:hAnsi="微软雅黑" w:eastAsia="微软雅黑"/>
                <w:b/>
                <w:bCs/>
                <w:color w:val="000000"/>
              </w:rPr>
            </w:pPr>
            <w:r>
              <w:rPr>
                <w:rFonts w:hint="eastAsia" w:ascii="微软雅黑" w:hAnsi="微软雅黑" w:eastAsia="微软雅黑"/>
                <w:b/>
                <w:bCs/>
                <w:color w:val="FF0000"/>
              </w:rPr>
              <w:t>【豪华商务车】</w:t>
            </w:r>
            <w:r>
              <w:rPr>
                <w:rFonts w:hint="eastAsia" w:ascii="微软雅黑" w:hAnsi="微软雅黑" w:eastAsia="微软雅黑"/>
                <w:b/>
                <w:bCs/>
                <w:color w:val="1F1F1F"/>
              </w:rPr>
              <w:t>用心只为您提供舒适型用车，</w:t>
            </w:r>
            <w:r>
              <w:rPr>
                <w:rFonts w:hint="eastAsia" w:ascii="微软雅黑" w:hAnsi="微软雅黑" w:eastAsia="微软雅黑"/>
                <w:b/>
                <w:bCs/>
                <w:color w:val="000000"/>
              </w:rPr>
              <w:t>根据人数定车型！</w:t>
            </w:r>
          </w:p>
          <w:p w14:paraId="312AC1CD">
            <w:pPr>
              <w:keepNext w:val="0"/>
              <w:keepLines w:val="0"/>
              <w:pageBreakBefore w:val="0"/>
              <w:widowControl/>
              <w:kinsoku/>
              <w:wordWrap/>
              <w:overflowPunct/>
              <w:topLinePunct w:val="0"/>
              <w:autoSpaceDE/>
              <w:autoSpaceDN/>
              <w:bidi w:val="0"/>
              <w:adjustRightInd/>
              <w:snapToGrid/>
              <w:spacing w:line="360" w:lineRule="exact"/>
              <w:textAlignment w:val="auto"/>
              <w:rPr>
                <w:rFonts w:ascii="微软雅黑" w:hAnsi="微软雅黑" w:eastAsia="微软雅黑"/>
                <w:b/>
                <w:bCs/>
                <w:color w:val="000000"/>
              </w:rPr>
            </w:pPr>
            <w:r>
              <w:rPr>
                <w:rFonts w:hint="eastAsia" w:ascii="微软雅黑" w:hAnsi="微软雅黑" w:eastAsia="微软雅黑"/>
                <w:b/>
                <w:bCs/>
                <w:color w:val="FF0000"/>
              </w:rPr>
              <w:t>【慢慢旅游】</w:t>
            </w:r>
            <w:r>
              <w:rPr>
                <w:rFonts w:hint="eastAsia" w:ascii="微软雅黑" w:hAnsi="微软雅黑" w:eastAsia="微软雅黑"/>
                <w:b/>
                <w:bCs/>
                <w:color w:val="000000"/>
              </w:rPr>
              <w:t>睡到自然醒、全程景点游玩时间灵活、不限制、深度体验！</w:t>
            </w:r>
          </w:p>
          <w:p w14:paraId="3667A137">
            <w:pPr>
              <w:keepNext w:val="0"/>
              <w:keepLines w:val="0"/>
              <w:pageBreakBefore w:val="0"/>
              <w:widowControl/>
              <w:kinsoku/>
              <w:wordWrap/>
              <w:overflowPunct/>
              <w:topLinePunct w:val="0"/>
              <w:autoSpaceDE/>
              <w:autoSpaceDN/>
              <w:bidi w:val="0"/>
              <w:adjustRightInd/>
              <w:snapToGrid/>
              <w:spacing w:line="360" w:lineRule="exact"/>
              <w:textAlignment w:val="auto"/>
              <w:rPr>
                <w:rFonts w:ascii="微软雅黑" w:hAnsi="微软雅黑" w:eastAsia="微软雅黑"/>
                <w:b/>
                <w:bCs/>
                <w:color w:val="000000"/>
              </w:rPr>
            </w:pPr>
            <w:r>
              <w:rPr>
                <w:rFonts w:hint="eastAsia" w:ascii="微软雅黑" w:hAnsi="微软雅黑" w:eastAsia="微软雅黑"/>
                <w:b/>
                <w:bCs/>
                <w:color w:val="FF0000"/>
              </w:rPr>
              <w:t>【舒适住宿】</w:t>
            </w:r>
            <w:r>
              <w:rPr>
                <w:rFonts w:hint="eastAsia" w:ascii="微软雅黑" w:hAnsi="微软雅黑" w:eastAsia="微软雅黑"/>
                <w:b/>
                <w:bCs/>
                <w:color w:val="000000"/>
                <w:lang w:val="en-US" w:eastAsia="zh-CN"/>
              </w:rPr>
              <w:t>四晚携程四钻</w:t>
            </w:r>
            <w:r>
              <w:rPr>
                <w:rFonts w:hint="eastAsia" w:ascii="微软雅黑" w:hAnsi="微软雅黑" w:eastAsia="微软雅黑"/>
                <w:b/>
                <w:bCs/>
                <w:color w:val="000000"/>
              </w:rPr>
              <w:t>酒店，给您一个安心睡眠！</w:t>
            </w:r>
          </w:p>
          <w:p w14:paraId="2CAEB385">
            <w:pPr>
              <w:keepNext w:val="0"/>
              <w:keepLines w:val="0"/>
              <w:pageBreakBefore w:val="0"/>
              <w:widowControl/>
              <w:kinsoku/>
              <w:wordWrap/>
              <w:overflowPunct/>
              <w:topLinePunct w:val="0"/>
              <w:autoSpaceDE/>
              <w:autoSpaceDN/>
              <w:bidi w:val="0"/>
              <w:adjustRightInd/>
              <w:snapToGrid/>
              <w:spacing w:line="360" w:lineRule="exact"/>
              <w:textAlignment w:val="auto"/>
              <w:rPr>
                <w:rFonts w:ascii="微软雅黑" w:hAnsi="微软雅黑" w:eastAsia="微软雅黑"/>
                <w:b/>
                <w:bCs/>
                <w:color w:val="000000"/>
              </w:rPr>
            </w:pPr>
            <w:r>
              <w:rPr>
                <w:rFonts w:hint="eastAsia" w:ascii="微软雅黑" w:hAnsi="微软雅黑" w:eastAsia="微软雅黑"/>
                <w:b/>
                <w:bCs/>
                <w:color w:val="FF0000"/>
              </w:rPr>
              <w:t>【管家式】</w:t>
            </w:r>
            <w:r>
              <w:rPr>
                <w:rFonts w:hint="eastAsia" w:ascii="微软雅黑" w:hAnsi="微软雅黑" w:eastAsia="微软雅黑"/>
                <w:b/>
                <w:bCs/>
                <w:color w:val="000000"/>
              </w:rPr>
              <w:t>专属客服为您服务、有任何问题联系客服、</w:t>
            </w:r>
            <w:r>
              <w:rPr>
                <w:rFonts w:hint="eastAsia" w:ascii="微软雅黑" w:hAnsi="微软雅黑" w:eastAsia="微软雅黑"/>
                <w:b/>
                <w:bCs/>
                <w:color w:val="000000"/>
                <w:shd w:val="clear" w:color="auto" w:fill="F8F8F8"/>
              </w:rPr>
              <w:t>提供饮水、</w:t>
            </w:r>
            <w:r>
              <w:rPr>
                <w:rFonts w:hint="eastAsia" w:ascii="微软雅黑" w:hAnsi="微软雅黑" w:eastAsia="微软雅黑"/>
                <w:b/>
                <w:bCs/>
                <w:color w:val="000000"/>
              </w:rPr>
              <w:t>保障您的出行！</w:t>
            </w:r>
          </w:p>
          <w:p w14:paraId="7B7B66D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b/>
                <w:bCs/>
                <w:color w:val="000000"/>
              </w:rPr>
            </w:pPr>
            <w:r>
              <w:rPr>
                <w:rFonts w:hint="eastAsia" w:ascii="微软雅黑" w:hAnsi="微软雅黑" w:eastAsia="微软雅黑"/>
                <w:b/>
                <w:bCs/>
                <w:color w:val="FF0000"/>
              </w:rPr>
              <w:t>【优选景点】</w:t>
            </w:r>
            <w:r>
              <w:rPr>
                <w:rFonts w:hint="eastAsia" w:ascii="微软雅黑" w:hAnsi="微软雅黑" w:eastAsia="微软雅黑"/>
                <w:b/>
                <w:bCs/>
                <w:color w:val="000000"/>
              </w:rPr>
              <w:t>武隆天生三硚、仙女山、九黎城、乌江画廊、鹅岭二厂、弹子石老街、</w:t>
            </w:r>
          </w:p>
          <w:p w14:paraId="086EDA1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b/>
                <w:bCs/>
                <w:color w:val="000000"/>
              </w:rPr>
            </w:pPr>
            <w:r>
              <w:rPr>
                <w:rFonts w:hint="eastAsia" w:ascii="微软雅黑" w:hAnsi="微软雅黑" w:eastAsia="微软雅黑"/>
                <w:b/>
                <w:bCs/>
                <w:color w:val="000000"/>
              </w:rPr>
              <w:t xml:space="preserve">            龙门浩·下浩里、第三步道、十八梯古镇、解放碑、洪崖洞、来福士广场、磁器口。</w:t>
            </w:r>
          </w:p>
          <w:p w14:paraId="02006224">
            <w:pPr>
              <w:pStyle w:val="2"/>
              <w:rPr>
                <w:rFonts w:hint="eastAsia"/>
              </w:rPr>
            </w:pPr>
          </w:p>
          <w:p w14:paraId="06CC53F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b/>
                <w:bCs/>
                <w:color w:val="0070C0"/>
              </w:rPr>
            </w:pPr>
            <w:r>
              <w:rPr>
                <w:rFonts w:hint="eastAsia" w:ascii="微软雅黑" w:hAnsi="微软雅黑" w:eastAsia="微软雅黑"/>
                <w:b/>
                <w:bCs/>
                <w:color w:val="0070C0"/>
              </w:rPr>
              <w:t>张艺谋曾在这里拍摄了《满城尽带黄金甲》，变形金刚4曾在这里取景</w:t>
            </w:r>
          </w:p>
          <w:p w14:paraId="5BEA897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b/>
                <w:bCs/>
                <w:color w:val="0070C0"/>
              </w:rPr>
            </w:pPr>
            <w:r>
              <w:rPr>
                <w:rFonts w:hint="eastAsia" w:ascii="微软雅黑" w:hAnsi="微软雅黑" w:eastAsia="微软雅黑"/>
                <w:b/>
                <w:bCs/>
                <w:color w:val="0070C0"/>
              </w:rPr>
              <w:t>景区以天龙桥、青龙桥、黑龙桥三座气势磅礴的石拱桥组成</w:t>
            </w:r>
          </w:p>
          <w:p w14:paraId="5EEBE68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b/>
                <w:bCs/>
                <w:color w:val="0070C0"/>
              </w:rPr>
            </w:pPr>
            <w:r>
              <w:rPr>
                <w:rFonts w:hint="eastAsia" w:ascii="微软雅黑" w:hAnsi="微软雅黑" w:eastAsia="微软雅黑"/>
                <w:b/>
                <w:bCs/>
                <w:color w:val="0070C0"/>
              </w:rPr>
              <w:t>仙女山大草原被誉为“南国第一牧场”。</w:t>
            </w:r>
          </w:p>
          <w:p w14:paraId="6D2EEBCC">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仿宋" w:hAnsi="仿宋" w:eastAsia="仿宋" w:cs="仿宋"/>
                <w:b/>
                <w:bCs/>
                <w:color w:val="FF0000"/>
                <w:sz w:val="24"/>
                <w:szCs w:val="24"/>
              </w:rPr>
              <w:t>拒绝购物，我们只做真纯玩，让您全程享受真正的VIP服务，体验“真正的旅游”</w:t>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重庆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仙女山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天生三桥</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武隆</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九黎城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乌江画廊</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鹅岭二厂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弹子石老街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龙门浩·下浩里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第三步道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十八梯古镇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解放碑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洪崖洞</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来福士广场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磁器口</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p>
        </w:tc>
      </w:tr>
      <w:tr w14:paraId="2209A1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66D523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E93C1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88090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3E58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EDA2E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2E41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default"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出发地→重庆</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住宿/重庆</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6396167E">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抵达山城雾都-重庆，重庆专职人员在火车站或机场迎接，送酒店入住后自由活动。</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548784A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FF"/>
                <w:sz w:val="21"/>
                <w:szCs w:val="22"/>
                <w:lang w:val="en-US" w:eastAsia="zh-CN" w:bidi="zh-CN"/>
              </w:rPr>
            </w:pPr>
            <w:r>
              <w:rPr>
                <w:rFonts w:hint="eastAsia" w:ascii="微软雅黑" w:hAnsi="微软雅黑" w:eastAsia="微软雅黑" w:cs="微软雅黑"/>
                <w:color w:val="0000FF"/>
                <w:sz w:val="21"/>
                <w:szCs w:val="22"/>
                <w:lang w:val="en-US" w:eastAsia="zh-CN" w:bidi="zh-CN"/>
              </w:rPr>
              <w:t>【今日抵达重庆后接站司机会在车站迎接，请每位游客下车后保证手机畅通，等侯旅行社工作人员迎接，不要随便和陌生人交流，不要与陌生人随意走动，我社接站司机均有统一的工作牌，请认明并确认身份才上车】</w:t>
            </w:r>
          </w:p>
          <w:p w14:paraId="42A42CFA">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FF"/>
                <w:sz w:val="21"/>
                <w:szCs w:val="22"/>
                <w:lang w:val="en-US" w:eastAsia="zh-CN" w:bidi="zh-CN"/>
              </w:rPr>
            </w:pPr>
            <w:r>
              <w:rPr>
                <w:rFonts w:hint="eastAsia" w:ascii="微软雅黑" w:hAnsi="微软雅黑" w:eastAsia="微软雅黑" w:cs="微软雅黑"/>
                <w:color w:val="0000FF"/>
                <w:sz w:val="21"/>
                <w:szCs w:val="22"/>
                <w:lang w:val="en-US" w:eastAsia="zh-CN" w:bidi="zh-CN"/>
              </w:rPr>
              <w:t>★送至酒店自行办理入住后自由活动，无行程安排，不含导服、餐、车服务；由于线路为当地散客拼团，在不减少景点的情况下，行程游览顺序可能会有所调整。司机将在晚19点至22点之间短信或电话联系您第二天的接车时间，请您保持手机畅通。</w:t>
            </w:r>
          </w:p>
          <w:p w14:paraId="3D3E1B2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FF"/>
                <w:sz w:val="21"/>
                <w:szCs w:val="22"/>
                <w:lang w:val="en-US" w:eastAsia="zh-CN" w:bidi="zh-CN"/>
              </w:rPr>
              <w:t>★酒店押金请酒店前台自付，并保管好押金条，第二天退房时检查无误退还。</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仙女山-天生三桥</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用餐/早 住宿/武隆</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45C9EA3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07:00 享用早餐—— 早上 8:00 左右在酒店大堂集合出发（出团前 1 天师傅通知为准），</w:t>
            </w:r>
          </w:p>
          <w:p w14:paraId="4DCFD9F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游览享有“东方瑞士”之称</w:t>
            </w:r>
            <w:r>
              <w:rPr>
                <w:rFonts w:hint="eastAsia" w:ascii="微软雅黑" w:hAnsi="微软雅黑" w:eastAsia="微软雅黑" w:cs="微软雅黑"/>
                <w:b/>
                <w:bCs/>
                <w:color w:val="FF0000"/>
                <w:sz w:val="21"/>
                <w:szCs w:val="22"/>
                <w:lang w:val="en-US" w:eastAsia="zh-CN" w:bidi="zh-CN"/>
              </w:rPr>
              <w:t>【仙女山国家森林公园】</w:t>
            </w:r>
            <w:r>
              <w:rPr>
                <w:rFonts w:hint="eastAsia" w:ascii="微软雅黑" w:hAnsi="微软雅黑" w:eastAsia="微软雅黑" w:cs="微软雅黑"/>
                <w:color w:val="FF0000"/>
                <w:sz w:val="21"/>
                <w:szCs w:val="22"/>
                <w:lang w:val="en-US" w:eastAsia="zh-CN" w:bidi="zh-CN"/>
              </w:rPr>
              <w:t>（游览1.5小时左右，小火车25元人，费用不含自愿消费）</w:t>
            </w: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，平均海拔1900米，高峰2033米，拥有森林33万亩，天然草原10万亩，以其江南独具魅力的高山草原，被誉为“南国第一牧场”；可以在草原里漫步，享受阳光的温暖普照。</w:t>
            </w:r>
          </w:p>
          <w:p w14:paraId="36F4168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游览</w:t>
            </w:r>
            <w:r>
              <w:rPr>
                <w:rFonts w:hint="eastAsia" w:ascii="微软雅黑" w:hAnsi="微软雅黑" w:eastAsia="微软雅黑" w:cs="微软雅黑"/>
                <w:b/>
                <w:bCs/>
                <w:color w:val="FF0000"/>
                <w:sz w:val="21"/>
                <w:szCs w:val="22"/>
                <w:lang w:val="en-US" w:eastAsia="zh-CN" w:bidi="zh-CN"/>
              </w:rPr>
              <w:t>【天生三桥景区】</w:t>
            </w:r>
            <w:r>
              <w:rPr>
                <w:rFonts w:hint="eastAsia" w:ascii="微软雅黑" w:hAnsi="微软雅黑" w:eastAsia="微软雅黑" w:cs="微软雅黑"/>
                <w:color w:val="FF0000"/>
                <w:sz w:val="21"/>
                <w:szCs w:val="22"/>
                <w:lang w:val="en-US" w:eastAsia="zh-CN" w:bidi="zh-CN"/>
              </w:rPr>
              <w:t>（游览2.5个小时左右，需换乘景区交通车统一进出，换乘车费40元/人，旋转电梯45元人，必须产生，费用不包含，电瓶车15元人自愿消费）</w:t>
            </w: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，景区由天龙桥、青龙桥、黑龙桥组成，气势磅礴、恢宏，是亚洲最大的天生桥群。天龙桥顶天立地，桥高 200 米，跨度 300 米，因位居三桥第一，犹如飞龙在天，故而得名“天龙”。天龙桥下另有天生坑，坑内又生洞，且洞洞相连恍如克里特岛上的米诺斯迷宫，令人倍感神奇；青龙桥位居第二，是三桥之中垂直落差最大的一座。桥高 350 米，跨度 400 米。桥身青翠，藤蔓缠绕。待到日落西山，余晖尽洒，青龙桥下凉风习习，桥身也因日光的关系而变成了暗绿色正似一条青龙欲飞冲天；黑龙桥位居最后，桥色深暗，正如一条黑龙横卧于此。同时，黑龙桥还暗含各式清泉，“三迭泉”、“一线泉”、“珍珠泉”等不仅名字雅致好听，而且风光也是惹人心醉。泉水绕三桥，大大增强了三桥的灵动美感，令人心旷神怡。纵观三座天生桥，均以“龙”命名，这不仅形象地说明了三桥壮阔的体态与宏伟的气势，也表现出人类对于自然的崇拜与敬畏。张艺谋 06 年电影《满城尽带黄金甲》唯一外景地、《变形金刚 4》中国外景地之一、世界地质奇观，国家 AAAAA 级风景名胜区；隆天坑三硚景区以其壮丽而独特的“三硚夹两坑”景观称奇于世，天生桥群和天坑群相映生辉，坑与坑之间以桥洞相望，桥与桥之间以坑相连，规模宏大，气势磅礴，瑰丽壮；亲临拍摄地、观看投资 200 万修建的唐朝古驿。</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83" w:type="dxa"/>
            <w:gridSpan w:val="6"/>
            <w:tcBorders>
              <w:top w:val="single" w:color="auto" w:sz="4" w:space="0"/>
              <w:left w:val="single" w:color="auto" w:sz="4" w:space="0"/>
              <w:bottom w:val="single" w:color="auto" w:sz="4" w:space="0"/>
              <w:right w:val="single" w:color="auto" w:sz="4" w:space="0"/>
            </w:tcBorders>
          </w:tcPr>
          <w:p w14:paraId="18E1D9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1、以上行程安排及时间仅供参考，可根据实际情况做适当调整。</w:t>
            </w:r>
          </w:p>
          <w:p w14:paraId="6812595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2、必须产生：天生三桥产生40元/人换车费，旋转电梯45元人</w:t>
            </w:r>
          </w:p>
          <w:p w14:paraId="74530A0D">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210" w:hangingChars="100"/>
              <w:jc w:val="left"/>
              <w:textAlignment w:val="auto"/>
              <w:rPr>
                <w:rFonts w:ascii="微软雅黑" w:hAnsi="微软雅黑" w:eastAsia="微软雅黑" w:cs="微软雅黑"/>
                <w:color w:val="FF0000"/>
                <w:szCs w:val="21"/>
              </w:rPr>
            </w:pPr>
            <w:r>
              <w:rPr>
                <w:rFonts w:hint="eastAsia" w:ascii="微软雅黑" w:hAnsi="微软雅黑" w:eastAsia="微软雅黑" w:cs="微软雅黑"/>
                <w:color w:val="FF0000"/>
                <w:kern w:val="2"/>
                <w:sz w:val="21"/>
                <w:szCs w:val="22"/>
                <w:lang w:val="en-US" w:eastAsia="zh-CN" w:bidi="zh-CN"/>
              </w:rPr>
              <w:t>3、选择消费：天坑出口电瓶车15元/人，仙女山小火车25元/人</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keepNext w:val="0"/>
              <w:keepLines w:val="0"/>
              <w:pageBreakBefore w:val="0"/>
              <w:widowControl w:val="0"/>
              <w:kinsoku/>
              <w:wordWrap/>
              <w:overflowPunct/>
              <w:topLinePunct w:val="0"/>
              <w:autoSpaceDE/>
              <w:autoSpaceDN/>
              <w:bidi w:val="0"/>
              <w:adjustRightInd/>
              <w:snapToGrid/>
              <w:spacing w:line="360" w:lineRule="exact"/>
              <w:ind w:left="8964" w:hanging="8964" w:hangingChars="3200"/>
              <w:textAlignment w:val="auto"/>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九黎城-乌江画廊</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用餐/早 住宿/重庆</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83" w:type="dxa"/>
            <w:gridSpan w:val="6"/>
            <w:tcBorders>
              <w:top w:val="single" w:color="auto" w:sz="4" w:space="0"/>
              <w:left w:val="single" w:color="auto" w:sz="4" w:space="0"/>
              <w:bottom w:val="single" w:color="auto" w:sz="4" w:space="0"/>
              <w:right w:val="single" w:color="auto" w:sz="4" w:space="0"/>
            </w:tcBorders>
          </w:tcPr>
          <w:p w14:paraId="31CD90F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07:30 享用早餐—— 酒店早餐 | 用餐时间: 约30分钟</w:t>
            </w:r>
          </w:p>
          <w:p w14:paraId="31ECFCE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乘车前往蚩尤</w:t>
            </w:r>
            <w:r>
              <w:rPr>
                <w:rFonts w:hint="eastAsia" w:ascii="微软雅黑" w:hAnsi="微软雅黑" w:eastAsia="微软雅黑" w:cs="微软雅黑"/>
                <w:b/>
                <w:bCs/>
                <w:color w:val="FF0000"/>
                <w:kern w:val="2"/>
                <w:sz w:val="21"/>
                <w:szCs w:val="22"/>
                <w:lang w:val="en-US" w:eastAsia="zh-CN" w:bidi="zh-CN"/>
              </w:rPr>
              <w:t>【九黎城】</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以苗族始祖蚩尤文化为主线，集中展示了苗族的传统文化和建筑，充满了浓郁的苗族风情。九黎城主要建筑有蚩尤大殿、九道门、九黎宫、蚩尤神府、九黎神柱、北斗七星景观亭、百苗文化长廊、游客服务中心、购物长廊、美食一条街等苗族特色建筑。</w:t>
            </w:r>
          </w:p>
          <w:p w14:paraId="3B5265A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FF0000"/>
                <w:kern w:val="2"/>
                <w:sz w:val="21"/>
                <w:szCs w:val="22"/>
                <w:lang w:val="en-US" w:eastAsia="zh-CN" w:bidi="zh-CN"/>
              </w:rPr>
              <w:t>蚩尤九黎城</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总占地面积10平方千米，主要建筑包括标志门楼、九道门、九黎宫、九黎部落、北斗七星、苗王府、蚩尤大殿、禹王宫、善堂、盘瓠大殿、百苗长廊、九黎神柱、艺武场、百戏楼。其中九道门、九黎宫、九黎神柱三项建筑已被列入大世界吉尼斯之最。</w:t>
            </w:r>
          </w:p>
          <w:p w14:paraId="0730BFF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中餐后，游览</w:t>
            </w:r>
            <w:r>
              <w:rPr>
                <w:rFonts w:hint="eastAsia" w:ascii="微软雅黑" w:hAnsi="微软雅黑" w:eastAsia="微软雅黑" w:cs="微软雅黑"/>
                <w:b/>
                <w:bCs/>
                <w:color w:val="FF0000"/>
                <w:kern w:val="2"/>
                <w:sz w:val="21"/>
                <w:szCs w:val="22"/>
                <w:lang w:val="en-US" w:eastAsia="zh-CN" w:bidi="zh-CN"/>
              </w:rPr>
              <w:t>【乌江画廊】（</w:t>
            </w:r>
            <w:r>
              <w:rPr>
                <w:rFonts w:hint="eastAsia" w:ascii="微软雅黑" w:hAnsi="微软雅黑" w:eastAsia="微软雅黑" w:cs="微软雅黑"/>
                <w:color w:val="FF0000"/>
                <w:kern w:val="2"/>
                <w:sz w:val="21"/>
                <w:szCs w:val="22"/>
                <w:lang w:val="en-US" w:eastAsia="zh-CN" w:bidi="zh-CN"/>
              </w:rPr>
              <w:t>乌江画廊游船158元/人，费用不含，必须产生</w:t>
            </w:r>
            <w:r>
              <w:rPr>
                <w:rFonts w:hint="eastAsia" w:ascii="微软雅黑" w:hAnsi="微软雅黑" w:eastAsia="微软雅黑" w:cs="微软雅黑"/>
                <w:b/>
                <w:bCs/>
                <w:color w:val="FF0000"/>
                <w:kern w:val="2"/>
                <w:sz w:val="21"/>
                <w:szCs w:val="22"/>
                <w:lang w:val="en-US" w:eastAsia="zh-CN" w:bidi="zh-CN"/>
              </w:rPr>
              <w:t>）</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乌江百里画廊“山似斧劈、水如碧玉、虬枝盘旋、水鸟嬉翔”，“奇山、怪石、碧水、</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"https://baike.baidu.com/item/%E9%99%A9%E6%BB%A9/5900677?fromModule=lemma_inlink" \t "https://baike.baidu.com/item/%E4%B9%8C%E6%B1%9F%E7%94%BB%E5%BB%8A/_blank"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险滩</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、古镇、廊桥、纤道、悬葬”构成了乌江画廊的</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"https://baike.baidu.com/item/%E6%99%AF%E8%A7%82%E8%A6%81%E7%B4%A0/853586?fromModule=lemma_inlink" \t "https://baike.baidu.com/item/%E4%B9%8C%E6%B1%9F%E7%94%BB%E5%BB%8A/_blank"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景观要素</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。清代诗人梅若翁赞叹：蜀中山水奇，应推此第一。</w:t>
            </w:r>
          </w:p>
          <w:p w14:paraId="38E6506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后入住酒店。</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83" w:type="dxa"/>
            <w:gridSpan w:val="6"/>
            <w:tcBorders>
              <w:top w:val="single" w:color="auto" w:sz="4" w:space="0"/>
              <w:left w:val="single" w:color="auto" w:sz="4" w:space="0"/>
              <w:bottom w:val="single" w:color="auto" w:sz="4" w:space="0"/>
              <w:right w:val="single" w:color="auto" w:sz="4" w:space="0"/>
            </w:tcBorders>
          </w:tcPr>
          <w:p w14:paraId="5FAE61D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必须产生：乌江画廊游船158元/人，</w:t>
            </w:r>
          </w:p>
          <w:p w14:paraId="24A62B7A">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FF0000"/>
                <w:kern w:val="2"/>
                <w:sz w:val="21"/>
                <w:szCs w:val="22"/>
                <w:lang w:val="en-US" w:eastAsia="zh-CN" w:bidi="zh-CN"/>
              </w:rPr>
              <w:t>以上行程安排及时间仅供参考，导游有权根据实际情况做适当调整！</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w:t>
            </w:r>
            <w:r>
              <w:rPr>
                <w:rFonts w:hint="eastAsia" w:ascii="微软雅黑" w:hAnsi="微软雅黑" w:eastAsia="微软雅黑" w:cs="微软雅黑"/>
                <w:b/>
                <w:bCs/>
                <w:color w:val="FFFFFF"/>
                <w:sz w:val="28"/>
                <w:szCs w:val="28"/>
              </w:rPr>
              <w:t>鹅岭二厂-弹子石老街-龙门浩·下浩里-第三步道-十八梯古镇-解放碑-洪崖洞-来福士广场-磁器口</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 xml:space="preserve"> 用餐/早 住宿/回家</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top w:val="single" w:color="auto" w:sz="4" w:space="0"/>
              <w:left w:val="single" w:color="auto" w:sz="4" w:space="0"/>
              <w:bottom w:val="single" w:color="auto" w:sz="4" w:space="0"/>
              <w:right w:val="single" w:color="auto" w:sz="4" w:space="0"/>
            </w:tcBorders>
          </w:tcPr>
          <w:p w14:paraId="3674893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08:00 享用早餐—— 酒店早餐 | 用餐时间: 约30分钟</w:t>
            </w:r>
          </w:p>
          <w:p w14:paraId="543849D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鹅岭二厂</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：破旧的楼房高低错落，独居特色的小店隐藏其中，夜幕降临，还能欣赏到绝美的夜景，更是文艺爱情电影《从你的全世界路过》拍摄地，已经成为火爆的文艺地标</w:t>
            </w:r>
          </w:p>
          <w:p w14:paraId="6EA7F7C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弹子石老街</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春晚分会场——曾是西南地区著名的水陆埠口，拥有法国水师兵营、王家大院等开埠文化根脉。传说大禹与涂山女结为眷侣，大禹治水期间，涂山女望夫化石，江石诞下儿子夏启，世人名此地为“诞子石”，后传作弹子石。后重庆名门望族王家在此兴办""万茂正盐号”，商贸云集，围绕王家大院形成繁荣街市，故名弹子石老街。</w:t>
            </w:r>
          </w:p>
          <w:p w14:paraId="6258A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龙门浩·下浩里</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上浩、下浩又是上龙门浩、下龙门浩的简称。浩，本指水广大，如浩浩荡荡。长江南岸江边有两列石梁凸出水面，两列石梁之间形成一个口，从那口出去就是浩浩荡荡的长江，因而称为浩口，而石梁靠岸一边的水面则被称为"浩"。那浩口是江鱼进出的门，有人就在那石上刻"龙门"二字，于是这"浩"就被称为</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"https://baike.so.com/doc/727799-770493.html" \t "https://baike.so.com/doc/_blank"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龙门浩</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w:t>
            </w:r>
          </w:p>
          <w:p w14:paraId="19D6A1E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第三步道</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这里有建于明朝初年的老城墙，有清末重庆开埠时期修建的外国领事馆和教堂，也有抗战时期的吊脚楼、四合院、防空洞以及海派风格的石朝门建筑，还有新中国成立后不同时间修建的学校、居民住宅，是重庆现存不多的面积超过2万平方米的原生民居建筑聚集地。</w:t>
            </w:r>
          </w:p>
          <w:p w14:paraId="3CBC81F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十八梯古镇</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十八梯是老重庆市民生活的真实写照，也承载了老重庆人的集体记忆。若想要领略真山城、老重庆，十八梯是最好的教科书。2021年9月30日重新翻新开街，每一个重庆人，对十八梯都有不一样的感情。对于十八梯原住民，这里承载着自己过往生活的点滴，对于原住民之外的其他人，这里能追寻老重庆的历史记忆。</w:t>
            </w:r>
          </w:p>
          <w:p w14:paraId="7D0234C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解放碑</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：原名</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"https://baike.so.com/doc/2441219-2580592.html" \t "https://baike.so.com/doc/_blank"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抗战胜利纪功碑</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，是全中国唯一的一座纪念中华民族抗日战争胜利的国家纪念碑，以纪念重庆对于国家的伟大贡献。</w:t>
            </w:r>
          </w:p>
          <w:p w14:paraId="4E4702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洪崖洞</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：重庆市区三面临江，一面靠山，倚山筑城，建筑层叠耸起，道路盘旋而上。城市风貌如此独特，形成的夜景堪称惊奇：万家灯火错落有致地点亮夜空，构成一片高下井然、远近互衬的灯的海洋。</w:t>
            </w:r>
          </w:p>
          <w:p w14:paraId="1E3E17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微软雅黑" w:hAnsi="微软雅黑" w:eastAsia="微软雅黑" w:cs="微软雅黑"/>
                <w:b/>
                <w:bCs/>
                <w:color w:val="FF0000"/>
                <w:kern w:val="2"/>
                <w:sz w:val="21"/>
                <w:szCs w:val="22"/>
                <w:lang w:val="en-US" w:eastAsia="zh-CN" w:bidi="zh-CN"/>
              </w:rPr>
              <w:t>磁器口古镇</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：原名龙隐镇，国家 AAAA 级景区，中国历史文化名街，重庆市重点保护传 统街，重庆“新巴渝十二景”，巴渝民俗文化旅游圈。磁器口古镇位于重庆市沙坪坝区嘉 陵江畔，始建于宋代，拥有“一江两溪三山四街”的独特地貌，是嘉陵江边重要的水陆码头。</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4" w:hRule="atLeast"/>
        </w:trPr>
        <w:tc>
          <w:tcPr>
            <w:tcW w:w="11683" w:type="dxa"/>
            <w:gridSpan w:val="6"/>
            <w:tcBorders>
              <w:top w:val="single" w:color="auto" w:sz="4" w:space="0"/>
              <w:left w:val="single" w:color="auto" w:sz="4" w:space="0"/>
              <w:bottom w:val="single" w:color="auto" w:sz="4" w:space="0"/>
              <w:right w:val="single" w:color="auto" w:sz="4" w:space="0"/>
            </w:tcBorders>
          </w:tcPr>
          <w:p w14:paraId="373CE8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color w:val="FF0000"/>
                <w:kern w:val="2"/>
                <w:sz w:val="21"/>
                <w:szCs w:val="22"/>
                <w:lang w:val="en-US" w:eastAsia="zh-CN" w:bidi="zh-CN"/>
              </w:rPr>
              <w:t>！1、以上行程安排及时间仅供参考，可根据实际情况做适当调整。</w:t>
            </w:r>
          </w:p>
        </w:tc>
      </w:tr>
      <w:tr w14:paraId="151204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4"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B050"/>
          </w:tcPr>
          <w:p w14:paraId="5A808427">
            <w:pPr>
              <w:numPr>
                <w:ilvl w:val="0"/>
                <w:numId w:val="0"/>
              </w:num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第五天 重庆-出发地                                      用餐/早  住宿/回家</w:t>
            </w:r>
          </w:p>
        </w:tc>
      </w:tr>
      <w:tr w14:paraId="285AD1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4" w:hRule="atLeast"/>
        </w:trPr>
        <w:tc>
          <w:tcPr>
            <w:tcW w:w="11683" w:type="dxa"/>
            <w:gridSpan w:val="6"/>
            <w:tcBorders>
              <w:top w:val="single" w:color="auto" w:sz="4" w:space="0"/>
              <w:left w:val="single" w:color="auto" w:sz="4" w:space="0"/>
              <w:bottom w:val="single" w:color="auto" w:sz="4" w:space="0"/>
              <w:right w:val="single" w:color="auto" w:sz="4" w:space="0"/>
            </w:tcBorders>
          </w:tcPr>
          <w:p w14:paraId="42FA02F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早餐后根据航班时间送机，返回出发地，结束旅程！</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83" w:type="dxa"/>
            <w:gridSpan w:val="6"/>
            <w:tcBorders>
              <w:top w:val="single" w:color="auto" w:sz="4" w:space="0"/>
              <w:left w:val="single" w:color="auto" w:sz="4" w:space="0"/>
              <w:bottom w:val="single" w:color="auto" w:sz="4" w:space="0"/>
              <w:right w:val="single" w:color="auto" w:sz="4" w:space="0"/>
            </w:tcBorders>
          </w:tcPr>
          <w:p w14:paraId="6A2D56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1.因为是散客拼团，游客可能来自不同的地区省市，所以，返程车次或航班均不一致，地接旅行社会根据每位游客不同的返程时间安排提前送站，请游客一定保持手机畅通，耐心等侯旅行社工作人员的联系。</w:t>
            </w:r>
          </w:p>
          <w:p w14:paraId="641A26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2.重庆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p w14:paraId="69ECBC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3.接送机服务是地接旅行社免费赠送服务，是突出特色的增值服务，不用不退费不更换等价项目，只限于酒店接人，不接受更换地点，敬请知晓！</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83"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6A958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门票：</w:t>
            </w:r>
            <w:r>
              <w:rPr>
                <w:rFonts w:hint="eastAsia" w:ascii="微软雅黑" w:hAnsi="微软雅黑" w:eastAsia="微软雅黑" w:cs="微软雅黑"/>
              </w:rPr>
              <w:t>含仙女山、天生三桥、九黎城景区门票</w:t>
            </w:r>
            <w:r>
              <w:rPr>
                <w:rFonts w:hint="eastAsia" w:ascii="微软雅黑" w:hAnsi="微软雅黑" w:eastAsia="微软雅黑" w:cs="微软雅黑"/>
                <w:lang w:eastAsia="zh-CN"/>
              </w:rPr>
              <w:t>、</w:t>
            </w:r>
            <w:r>
              <w:rPr>
                <w:rFonts w:hint="eastAsia" w:ascii="微软雅黑" w:hAnsi="微软雅黑" w:eastAsia="微软雅黑" w:cs="微软雅黑"/>
              </w:rPr>
              <w:t>不含景区小交通、不含景区讲解</w:t>
            </w:r>
          </w:p>
          <w:p w14:paraId="504D95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2、酒店：</w:t>
            </w:r>
            <w:r>
              <w:rPr>
                <w:rFonts w:hint="eastAsia" w:ascii="微软雅黑" w:hAnsi="微软雅黑" w:eastAsia="微软雅黑" w:cs="微软雅黑"/>
              </w:rPr>
              <w:t>入住</w:t>
            </w:r>
            <w:r>
              <w:rPr>
                <w:rFonts w:hint="eastAsia" w:ascii="微软雅黑" w:hAnsi="微软雅黑" w:eastAsia="微软雅黑" w:cs="微软雅黑"/>
                <w:lang w:val="en-US" w:eastAsia="zh-CN"/>
              </w:rPr>
              <w:t>4</w:t>
            </w:r>
            <w:r>
              <w:rPr>
                <w:rFonts w:hint="eastAsia" w:ascii="微软雅黑" w:hAnsi="微软雅黑" w:eastAsia="微软雅黑" w:cs="微软雅黑"/>
              </w:rPr>
              <w:t>晚携程四钻酒店，房型提供双人标间，确保每人每晚一床位，如遇单男单女时，旅行社征得游客同意后拆分夫妻（或者在条件允许下拼房）。如无法安排时，游客自愿现补单房差（如出现多人单人情况。请提前补足单房差，或则默认不指定三人间/家庭房/加床）</w:t>
            </w:r>
          </w:p>
          <w:p w14:paraId="225789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3、餐费：</w:t>
            </w:r>
            <w:r>
              <w:rPr>
                <w:rFonts w:hint="eastAsia" w:ascii="微软雅黑" w:hAnsi="微软雅黑" w:eastAsia="微软雅黑" w:cs="微软雅黑"/>
              </w:rPr>
              <w:t>3早（早餐为酒店占床赠送，不用不退），不占床不含早餐，如需含早费用自理！</w:t>
            </w:r>
          </w:p>
          <w:p w14:paraId="2249492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用餐均按旅游包价组合消费，任一项取消均不退费，不再享受二次优惠</w:t>
            </w:r>
          </w:p>
          <w:p w14:paraId="429DFB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4、交通：根据实际人数选用小车或者商务车，保证一人一个正座；（接站司机接站游客。）</w:t>
            </w:r>
          </w:p>
          <w:p w14:paraId="6B1F595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5、导服：</w:t>
            </w:r>
            <w:r>
              <w:rPr>
                <w:rFonts w:hint="eastAsia" w:ascii="微软雅黑" w:hAnsi="微软雅黑" w:eastAsia="微软雅黑" w:cs="微软雅黑"/>
                <w:color w:val="FF0000"/>
                <w:kern w:val="2"/>
                <w:sz w:val="21"/>
                <w:szCs w:val="22"/>
                <w:highlight w:val="yellow"/>
                <w:lang w:val="en-US" w:eastAsia="zh-CN" w:bidi="zh-CN"/>
              </w:rPr>
              <w:t>全程无导游，景区自行游览，无人陪同，司机协助购买景区大门票！</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  </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83"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必消现付</w:t>
            </w:r>
            <w:r>
              <w:rPr>
                <w:rFonts w:hint="eastAsia" w:ascii="微软雅黑" w:hAnsi="微软雅黑" w:eastAsia="微软雅黑" w:cs="微软雅黑"/>
              </w:rPr>
              <w:t>；儿童不含成人报价中的赠送门票项目</w:t>
            </w:r>
          </w:p>
        </w:tc>
      </w:tr>
      <w:tr w14:paraId="6ED5D9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65AD1C2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☆☆必消项目☆☆</w:t>
            </w:r>
          </w:p>
          <w:p w14:paraId="2CAB9CC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color w:val="FF0000"/>
                <w:lang w:eastAsia="zh-CN"/>
              </w:rPr>
              <w:t>必须产生</w:t>
            </w:r>
            <w:r>
              <w:rPr>
                <w:rFonts w:hint="eastAsia" w:ascii="微软雅黑" w:hAnsi="微软雅黑" w:eastAsia="微软雅黑" w:cs="微软雅黑"/>
                <w:color w:val="FF0000"/>
                <w:lang w:val="en-US" w:eastAsia="zh-CN"/>
              </w:rPr>
              <w:t>243元/人（</w:t>
            </w:r>
            <w:r>
              <w:rPr>
                <w:rFonts w:hint="eastAsia" w:ascii="微软雅黑" w:hAnsi="微软雅黑" w:eastAsia="微软雅黑" w:cs="微软雅黑"/>
                <w:color w:val="FF0000"/>
              </w:rPr>
              <w:t>天生三桥换车40元/人、天坑旋转电梯</w:t>
            </w:r>
            <w:r>
              <w:rPr>
                <w:rFonts w:hint="eastAsia" w:ascii="微软雅黑" w:hAnsi="微软雅黑" w:eastAsia="微软雅黑" w:cs="微软雅黑"/>
                <w:color w:val="FF0000"/>
                <w:lang w:val="en-US" w:eastAsia="zh-CN"/>
              </w:rPr>
              <w:t>45</w:t>
            </w:r>
            <w:r>
              <w:rPr>
                <w:rFonts w:hint="eastAsia" w:ascii="微软雅黑" w:hAnsi="微软雅黑" w:eastAsia="微软雅黑" w:cs="微软雅黑"/>
                <w:color w:val="FF0000"/>
              </w:rPr>
              <w:t>元/人、乌江画廊游船158元人</w:t>
            </w:r>
            <w:r>
              <w:rPr>
                <w:rFonts w:hint="eastAsia" w:ascii="微软雅黑" w:hAnsi="微软雅黑" w:eastAsia="微软雅黑" w:cs="微软雅黑"/>
                <w:color w:val="FF0000"/>
                <w:lang w:eastAsia="zh-CN"/>
              </w:rPr>
              <w:t>）</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1E0B6B1A">
            <w:pPr>
              <w:pStyle w:val="19"/>
              <w:keepNext w:val="0"/>
              <w:keepLines w:val="0"/>
              <w:pageBreakBefore w:val="0"/>
              <w:widowControl w:val="0"/>
              <w:kinsoku/>
              <w:wordWrap/>
              <w:overflowPunct/>
              <w:topLinePunct w:val="0"/>
              <w:autoSpaceDE/>
              <w:autoSpaceDN/>
              <w:bidi w:val="0"/>
              <w:adjustRightInd/>
              <w:snapToGrid/>
              <w:spacing w:before="31" w:beforeLines="10" w:line="360" w:lineRule="exact"/>
              <w:ind w:left="0" w:leftChars="0" w:firstLine="0" w:firstLineChars="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1、如1人全程入住相应指定酒店单独包房，需补单房差。</w:t>
            </w:r>
          </w:p>
          <w:p w14:paraId="5E48BA0A">
            <w:pPr>
              <w:pStyle w:val="19"/>
              <w:keepNext w:val="0"/>
              <w:keepLines w:val="0"/>
              <w:pageBreakBefore w:val="0"/>
              <w:widowControl w:val="0"/>
              <w:kinsoku/>
              <w:wordWrap/>
              <w:overflowPunct/>
              <w:topLinePunct w:val="0"/>
              <w:autoSpaceDE/>
              <w:autoSpaceDN/>
              <w:bidi w:val="0"/>
              <w:adjustRightInd/>
              <w:snapToGrid/>
              <w:spacing w:before="31" w:beforeLines="10" w:line="360" w:lineRule="exact"/>
              <w:ind w:left="0" w:leftChars="0" w:firstLine="0" w:firstLineChars="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 xml:space="preserve">2、不可抗力原因所引致的额外费用、因交通延阻、罢工、天气、飞机机器故障、航班取消或更改时间等不可抗力原因所引致的额外费用。 </w:t>
            </w:r>
          </w:p>
          <w:p w14:paraId="69C261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3、景区配套便民服务设施及体验项目 </w:t>
            </w:r>
          </w:p>
          <w:p w14:paraId="567AE4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lang w:val="en-US" w:eastAsia="zh-CN"/>
              </w:rPr>
              <w:t>a.</w:t>
            </w:r>
            <w:r>
              <w:rPr>
                <w:rFonts w:hint="eastAsia" w:ascii="微软雅黑" w:hAnsi="微软雅黑" w:eastAsia="微软雅黑" w:cs="微软雅黑"/>
                <w:color w:val="FF0000"/>
              </w:rPr>
              <w:t>天坑景区出口电瓶车15元/人 ，仙女山小火车25元人，自愿选择乘坐</w:t>
            </w:r>
          </w:p>
          <w:p w14:paraId="0F2B96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lang w:val="en-US" w:eastAsia="zh-CN"/>
              </w:rPr>
              <w:t>b .</w:t>
            </w:r>
            <w:r>
              <w:rPr>
                <w:rFonts w:hint="eastAsia" w:ascii="微软雅黑" w:hAnsi="微软雅黑" w:eastAsia="微软雅黑" w:cs="微软雅黑"/>
                <w:color w:val="FF0000"/>
              </w:rPr>
              <w:t>其他/以上“服务提供项目—报价包含内容”里未提及包含的一切费用均未含。</w:t>
            </w:r>
          </w:p>
          <w:p w14:paraId="22E87B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lang w:val="en-US" w:eastAsia="zh-CN"/>
              </w:rPr>
            </w:pPr>
            <w:r>
              <w:rPr>
                <w:rFonts w:hint="eastAsia" w:ascii="微软雅黑" w:hAnsi="微软雅黑" w:eastAsia="微软雅黑" w:cs="微软雅黑"/>
                <w:b/>
                <w:color w:val="000000"/>
                <w:sz w:val="18"/>
                <w:szCs w:val="18"/>
              </w:rPr>
              <w:t>4</w:t>
            </w:r>
            <w:r>
              <w:rPr>
                <w:rFonts w:hint="eastAsia" w:ascii="微软雅黑" w:hAnsi="微软雅黑" w:eastAsia="微软雅黑" w:cs="微软雅黑"/>
                <w:lang w:val="en-US" w:eastAsia="zh-CN"/>
              </w:rPr>
              <w:t>、</w:t>
            </w:r>
            <w:r>
              <w:rPr>
                <w:rFonts w:hint="eastAsia" w:ascii="微软雅黑" w:hAnsi="微软雅黑" w:eastAsia="微软雅黑" w:cs="微软雅黑"/>
                <w:color w:val="FF0000"/>
                <w:lang w:val="en-US" w:eastAsia="zh-CN"/>
              </w:rPr>
              <w:t>不含景区讲解</w:t>
            </w:r>
          </w:p>
          <w:p w14:paraId="26FC6D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FF0000"/>
                <w:highlight w:val="yellow"/>
                <w:lang w:val="en-US" w:eastAsia="zh-CN"/>
              </w:rPr>
              <w:t>关于开展2020年塑料污染治理工作部委联合专项行动的指示：全市范围内所有旅游星级饭店、酒店、民宿等场所不再主动提供一次性塑料用品。请所有入住客人自带牙具等清洁物品。</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4A1773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000000" w:themeColor="text1"/>
                <w:kern w:val="2"/>
                <w:sz w:val="21"/>
                <w:szCs w:val="22"/>
                <w:lang w:val="zh-CN" w:eastAsia="zh-CN" w:bidi="zh-CN"/>
                <w14:textFill>
                  <w14:solidFill>
                    <w14:schemeClr w14:val="tx1"/>
                  </w14:solidFill>
                </w14:textFill>
              </w:rPr>
              <w:t>重庆参考酒店</w:t>
            </w:r>
            <w:r>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t>：岷山丽呈园林酒店、泊尊云镜酒店、豪源两江酒店、伴山子语酒店、圣名大酒店、格林东方酒店、新西亚大酒店、格雷斯精选酒店机场店、华拓铂缇嘉顿酒店、沁住PLUS酒店机场店、君巢米拉酒店、林枫酒店、望山栖酒店，丽柏酒店、丽怡北站店、华拓酒店、薇斯顿酒店、</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丽呈君顿机场店，艺龙壹堂酒店、华拓·铂缇嘉顿酒店、尚高丽呈酒店、红楼银杏酒店、华熙酒店、圣嘉酒店回兴店、君顿两江新区酒店、中濠酒店、丽柏悦来店、华奕酒店、维也纳机场店。</w:t>
            </w:r>
          </w:p>
          <w:p w14:paraId="7EE07C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t>或同级</w:t>
            </w:r>
          </w:p>
          <w:p w14:paraId="438566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pPr>
            <w:r>
              <w:rPr>
                <w:rFonts w:hint="eastAsia" w:ascii="微软雅黑" w:hAnsi="微软雅黑" w:eastAsia="微软雅黑" w:cs="微软雅黑"/>
                <w:b/>
                <w:bCs/>
                <w:color w:val="000000" w:themeColor="text1"/>
                <w:kern w:val="2"/>
                <w:sz w:val="21"/>
                <w:szCs w:val="22"/>
                <w:lang w:val="zh-CN" w:eastAsia="zh-CN" w:bidi="zh-CN"/>
                <w14:textFill>
                  <w14:solidFill>
                    <w14:schemeClr w14:val="tx1"/>
                  </w14:solidFill>
                </w14:textFill>
              </w:rPr>
              <w:t>武隆参考酒店</w:t>
            </w:r>
            <w:r>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t>：陈家花园酒店、悦庭楠舍酒店、卸甲酒店、橙子酒店、塞拉维酒店、山景城酒店、大自然酒店、玖浩酒店、鹿也酒店、丽龙酒店或同级</w:t>
            </w:r>
          </w:p>
          <w:p w14:paraId="493BB00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b/>
                <w:bCs/>
                <w:lang w:val="zh-CN" w:eastAsia="zh-CN"/>
              </w:rPr>
            </w:pPr>
            <w:r>
              <w:rPr>
                <w:rFonts w:hint="eastAsia" w:ascii="微软雅黑" w:hAnsi="微软雅黑" w:eastAsia="微软雅黑" w:cs="微软雅黑"/>
                <w:b/>
                <w:bCs/>
                <w:lang w:val="zh-CN" w:eastAsia="zh-CN"/>
              </w:rPr>
              <w:t>酒店备注：</w:t>
            </w:r>
          </w:p>
          <w:p w14:paraId="7E32D2D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1、如遇旺季酒店客房紧张或政府临时征用、大型会议等特殊情况，将安排不低于原档次的其他酒店，敬请谅解；</w:t>
            </w:r>
          </w:p>
          <w:p w14:paraId="7DA8E7F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2、酒店标准均有备注，请在预订时自查标准，如对住宿要求较高的游客，请在报名时自行补交差价升级酒店；</w:t>
            </w:r>
          </w:p>
          <w:p w14:paraId="401671D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lang w:val="zh-CN" w:eastAsia="zh-CN"/>
              </w:rPr>
              <w:t>3、遇特殊原因（如天气，交通，地面，酒店接待能力，可能变更住宿地点，标准不变）酒店设施服务为酒店配套项目，以酒店提供为准，不属于旅游行程质量范围，敬请谅解。</w:t>
            </w:r>
          </w:p>
        </w:tc>
      </w:tr>
      <w:tr w14:paraId="476A4D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3" w:hRule="atLeast"/>
        </w:trPr>
        <w:tc>
          <w:tcPr>
            <w:tcW w:w="11683" w:type="dxa"/>
            <w:gridSpan w:val="6"/>
            <w:tcBorders>
              <w:top w:val="single" w:color="auto" w:sz="4" w:space="0"/>
              <w:left w:val="single" w:color="auto" w:sz="4" w:space="0"/>
              <w:bottom w:val="single" w:color="auto" w:sz="4" w:space="0"/>
              <w:right w:val="single" w:color="auto" w:sz="4" w:space="0"/>
            </w:tcBorders>
          </w:tcPr>
          <w:p w14:paraId="3E8B625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☆☆特别注意事项☆☆</w:t>
            </w:r>
          </w:p>
          <w:p w14:paraId="40AA1D3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4EAA03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CC7773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8EB88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0" w:hRule="atLeast"/>
        </w:trPr>
        <w:tc>
          <w:tcPr>
            <w:tcW w:w="11683" w:type="dxa"/>
            <w:gridSpan w:val="6"/>
            <w:tcBorders>
              <w:top w:val="single" w:color="auto" w:sz="4" w:space="0"/>
              <w:left w:val="single" w:color="auto" w:sz="4" w:space="0"/>
              <w:bottom w:val="single" w:color="auto" w:sz="4" w:space="0"/>
              <w:right w:val="single" w:color="auto" w:sz="4" w:space="0"/>
            </w:tcBorders>
          </w:tcPr>
          <w:p w14:paraId="500C05DA">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A5C49B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C2A1FC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D5FD37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1A2C93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4、酒店定时供应热水和空调。客人入住酒店时，请检查房间里所有设备及用具，如有损坏缺少应及时联系导游员或酒店工作人员，切勿大意，减少不必要的纠纷。根据</w:t>
            </w:r>
            <w:r>
              <w:rPr>
                <w:rFonts w:hint="eastAsia" w:ascii="微软雅黑" w:hAnsi="微软雅黑" w:eastAsia="微软雅黑" w:cs="微软雅黑"/>
                <w:lang w:val="en-US" w:eastAsia="zh-CN"/>
              </w:rPr>
              <w:t>重庆</w:t>
            </w:r>
            <w:r>
              <w:rPr>
                <w:rFonts w:hint="eastAsia" w:ascii="微软雅黑" w:hAnsi="微软雅黑" w:eastAsia="微软雅黑" w:cs="微软雅黑"/>
              </w:rPr>
              <w:t>政府规定，酒店不提供一次性洗漱用品，请客人自备。敬请谅解。</w:t>
            </w:r>
          </w:p>
          <w:p w14:paraId="0AA613F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59B06C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6347FC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7FDDC8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w:t>
            </w:r>
            <w:r>
              <w:rPr>
                <w:rFonts w:hint="eastAsia" w:ascii="微软雅黑" w:hAnsi="微软雅黑" w:eastAsia="微软雅黑" w:cs="微软雅黑"/>
                <w:lang w:val="en-US" w:eastAsia="zh-CN"/>
              </w:rPr>
              <w:t>重庆</w:t>
            </w:r>
            <w:r>
              <w:rPr>
                <w:rFonts w:hint="eastAsia" w:ascii="微软雅黑" w:hAnsi="微软雅黑" w:eastAsia="微软雅黑" w:cs="微软雅黑"/>
              </w:rPr>
              <w:t>地处山</w:t>
            </w:r>
            <w:r>
              <w:rPr>
                <w:rFonts w:hint="eastAsia" w:ascii="微软雅黑" w:hAnsi="微软雅黑" w:eastAsia="微软雅黑" w:cs="微软雅黑"/>
                <w:lang w:val="en-US" w:eastAsia="zh-CN"/>
              </w:rPr>
              <w:t>城</w:t>
            </w:r>
            <w:r>
              <w:rPr>
                <w:rFonts w:hint="eastAsia" w:ascii="微软雅黑" w:hAnsi="微软雅黑" w:eastAsia="微软雅黑" w:cs="微软雅黑"/>
              </w:rPr>
              <w:t>，当地昼夜温差大，请带足保暖防寒衣物，长时间在户外活动,请戴上太阳帽、太阳镜，涂抹防霜,以保护皮肤。天气变化多端，请携带雨具。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FD0A4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为了您的出行安全，请游客在出行前做一次必要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37026B8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rPr>
              <w:t>10、【重要提示】：游客投诉以在</w:t>
            </w:r>
            <w:r>
              <w:rPr>
                <w:rFonts w:hint="eastAsia" w:ascii="微软雅黑" w:hAnsi="微软雅黑" w:eastAsia="微软雅黑" w:cs="微软雅黑"/>
                <w:lang w:val="en-US" w:eastAsia="zh-CN"/>
              </w:rPr>
              <w:t>重庆</w:t>
            </w:r>
            <w:r>
              <w:rPr>
                <w:rFonts w:hint="eastAsia" w:ascii="微软雅黑" w:hAnsi="微软雅黑" w:eastAsia="微软雅黑" w:cs="微软雅黑"/>
              </w:rPr>
              <w:t>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B47898B">
      <w:pPr>
        <w:jc w:val="both"/>
        <w:rPr>
          <w:rFonts w:hint="eastAsia"/>
          <w:b/>
          <w:sz w:val="28"/>
        </w:rPr>
      </w:pPr>
    </w:p>
    <w:p w14:paraId="692A557E">
      <w:pPr>
        <w:jc w:val="both"/>
        <w:rPr>
          <w:rFonts w:hint="eastAsia"/>
          <w:b/>
          <w:sz w:val="28"/>
        </w:rPr>
      </w:pPr>
    </w:p>
    <w:p w14:paraId="632964EC">
      <w:pPr>
        <w:jc w:val="both"/>
        <w:rPr>
          <w:rFonts w:hint="eastAsia"/>
          <w:b/>
          <w:sz w:val="28"/>
        </w:rPr>
      </w:pPr>
    </w:p>
    <w:p w14:paraId="27291DAE">
      <w:pPr>
        <w:jc w:val="center"/>
        <w:rPr>
          <w:rFonts w:ascii="宋体" w:hAnsi="宋体" w:cs="宋体"/>
          <w:b/>
          <w:szCs w:val="21"/>
        </w:rPr>
      </w:pPr>
      <w:r>
        <w:rPr>
          <w:rFonts w:hint="eastAsia"/>
          <w:b/>
          <w:sz w:val="28"/>
        </w:rPr>
        <w:t>补充协议</w:t>
      </w:r>
    </w:p>
    <w:p w14:paraId="25828609">
      <w:pPr>
        <w:spacing w:line="360" w:lineRule="auto"/>
        <w:ind w:firstLine="211" w:firstLineChars="100"/>
        <w:jc w:val="left"/>
        <w:rPr>
          <w:rFonts w:ascii="宋体" w:hAnsi="宋体" w:cs="宋体"/>
          <w:b/>
          <w:szCs w:val="21"/>
          <w:u w:val="single"/>
        </w:rPr>
      </w:pPr>
      <w:r>
        <w:rPr>
          <w:rFonts w:hint="eastAsia" w:ascii="宋体" w:hAnsi="宋体" w:cs="宋体"/>
          <w:b/>
          <w:szCs w:val="21"/>
        </w:rPr>
        <w:t>甲方（旅行社）：</w:t>
      </w:r>
    </w:p>
    <w:p w14:paraId="594350A5">
      <w:pPr>
        <w:spacing w:line="360" w:lineRule="auto"/>
        <w:ind w:firstLine="211" w:firstLineChars="100"/>
        <w:jc w:val="left"/>
        <w:rPr>
          <w:rFonts w:hint="eastAsia" w:ascii="宋体" w:hAnsi="宋体" w:cs="宋体"/>
          <w:b/>
          <w:szCs w:val="21"/>
        </w:rPr>
      </w:pPr>
      <w:r>
        <w:rPr>
          <w:rFonts w:hint="eastAsia" w:ascii="宋体" w:hAnsi="宋体" w:cs="宋体"/>
          <w:b/>
          <w:szCs w:val="21"/>
        </w:rPr>
        <w:t>乙方（旅游者）：</w:t>
      </w:r>
    </w:p>
    <w:p w14:paraId="6C620F95">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为丰富旅游者的娱乐活动及满足不同旅游者的需求，旅行社在不影响正常旅行行程安排的的前提下，旅行社可提供自费景点（娱乐）；项目供旅游者自行选择参加与否。根据《旅游法》第</w:t>
      </w:r>
      <w:r>
        <w:rPr>
          <w:rFonts w:hint="eastAsia" w:ascii="微软雅黑" w:hAnsi="微软雅黑" w:eastAsia="微软雅黑" w:cs="微软雅黑"/>
          <w:lang w:val="sq-AL"/>
        </w:rPr>
        <w:t>35</w:t>
      </w:r>
      <w:r>
        <w:rPr>
          <w:rFonts w:hint="eastAsia" w:ascii="微软雅黑" w:hAnsi="微软雅黑" w:eastAsia="微软雅黑" w:cs="微软雅黑"/>
          <w:lang w:val="zh-CN"/>
        </w:rPr>
        <w:t>条规定“旅行社安排另行付费旅游项目需是应旅游者要求或经双方协商一致且不影响其他旅游者的行程安排”，因此在本次旅行过程，旅行社应旅游者（乙方）要求经双方协商一致，由甲方协助安排乙方参加自费旅游项目，双方确认签署本协议，具体约定如下：</w:t>
      </w:r>
    </w:p>
    <w:tbl>
      <w:tblPr>
        <w:tblStyle w:val="11"/>
        <w:tblpPr w:leftFromText="180" w:rightFromText="180" w:vertAnchor="page" w:horzAnchor="page" w:tblpX="1151" w:tblpY="10678"/>
        <w:tblOverlap w:val="never"/>
        <w:tblW w:w="8994" w:type="dxa"/>
        <w:jc w:val="center"/>
        <w:tblLayout w:type="fixed"/>
        <w:tblCellMar>
          <w:top w:w="0" w:type="dxa"/>
          <w:left w:w="108" w:type="dxa"/>
          <w:bottom w:w="0" w:type="dxa"/>
          <w:right w:w="108" w:type="dxa"/>
        </w:tblCellMar>
      </w:tblPr>
      <w:tblGrid>
        <w:gridCol w:w="2981"/>
        <w:gridCol w:w="2408"/>
        <w:gridCol w:w="3605"/>
      </w:tblGrid>
      <w:tr w14:paraId="501142DB">
        <w:tblPrEx>
          <w:tblCellMar>
            <w:top w:w="0" w:type="dxa"/>
            <w:left w:w="108" w:type="dxa"/>
            <w:bottom w:w="0" w:type="dxa"/>
            <w:right w:w="108" w:type="dxa"/>
          </w:tblCellMar>
        </w:tblPrEx>
        <w:trPr>
          <w:trHeight w:val="419" w:hRule="atLeast"/>
          <w:jc w:val="center"/>
        </w:trPr>
        <w:tc>
          <w:tcPr>
            <w:tcW w:w="2981" w:type="dxa"/>
            <w:tcBorders>
              <w:top w:val="single" w:color="auto" w:sz="4" w:space="0"/>
              <w:left w:val="single" w:color="auto" w:sz="4" w:space="0"/>
              <w:bottom w:val="single" w:color="auto" w:sz="4" w:space="0"/>
              <w:right w:val="single" w:color="auto" w:sz="4" w:space="0"/>
            </w:tcBorders>
            <w:noWrap w:val="0"/>
            <w:vAlign w:val="center"/>
          </w:tcPr>
          <w:p w14:paraId="67DE3135">
            <w:pPr>
              <w:spacing w:line="320" w:lineRule="exact"/>
              <w:jc w:val="center"/>
              <w:rPr>
                <w:rFonts w:ascii="微软雅黑" w:hAnsi="微软雅黑" w:cs="微软雅黑"/>
                <w:b/>
                <w:bCs/>
              </w:rPr>
            </w:pPr>
            <w:r>
              <w:rPr>
                <w:rFonts w:hint="eastAsia" w:ascii="微软雅黑" w:hAnsi="微软雅黑" w:cs="微软雅黑"/>
                <w:b/>
                <w:bCs/>
              </w:rPr>
              <w:t>自费名称</w:t>
            </w:r>
          </w:p>
        </w:tc>
        <w:tc>
          <w:tcPr>
            <w:tcW w:w="2408" w:type="dxa"/>
            <w:tcBorders>
              <w:top w:val="single" w:color="auto" w:sz="4" w:space="0"/>
              <w:left w:val="nil"/>
              <w:bottom w:val="single" w:color="auto" w:sz="4" w:space="0"/>
              <w:right w:val="single" w:color="auto" w:sz="4" w:space="0"/>
            </w:tcBorders>
            <w:noWrap w:val="0"/>
            <w:vAlign w:val="center"/>
          </w:tcPr>
          <w:p w14:paraId="4374F0BE">
            <w:pPr>
              <w:spacing w:line="320" w:lineRule="exact"/>
              <w:jc w:val="center"/>
              <w:rPr>
                <w:rFonts w:ascii="微软雅黑" w:hAnsi="微软雅黑" w:cs="微软雅黑"/>
                <w:b/>
                <w:bCs/>
              </w:rPr>
            </w:pPr>
            <w:r>
              <w:rPr>
                <w:rFonts w:hint="eastAsia" w:ascii="微软雅黑" w:hAnsi="微软雅黑" w:cs="微软雅黑"/>
                <w:b/>
                <w:bCs/>
              </w:rPr>
              <w:t>项目</w:t>
            </w:r>
          </w:p>
        </w:tc>
        <w:tc>
          <w:tcPr>
            <w:tcW w:w="3605" w:type="dxa"/>
            <w:tcBorders>
              <w:top w:val="single" w:color="auto" w:sz="4" w:space="0"/>
              <w:left w:val="nil"/>
              <w:bottom w:val="single" w:color="auto" w:sz="4" w:space="0"/>
              <w:right w:val="single" w:color="auto" w:sz="4" w:space="0"/>
            </w:tcBorders>
            <w:noWrap w:val="0"/>
            <w:vAlign w:val="center"/>
          </w:tcPr>
          <w:p w14:paraId="1A7336DE">
            <w:pPr>
              <w:spacing w:line="320" w:lineRule="exact"/>
              <w:jc w:val="center"/>
              <w:rPr>
                <w:rFonts w:ascii="微软雅黑" w:hAnsi="微软雅黑" w:cs="微软雅黑"/>
                <w:b/>
                <w:bCs/>
              </w:rPr>
            </w:pPr>
            <w:r>
              <w:rPr>
                <w:rFonts w:hint="eastAsia" w:ascii="微软雅黑" w:hAnsi="微软雅黑" w:cs="微软雅黑"/>
                <w:b/>
                <w:bCs/>
              </w:rPr>
              <w:t>价格</w:t>
            </w:r>
          </w:p>
        </w:tc>
      </w:tr>
      <w:tr w14:paraId="4682E87D">
        <w:tblPrEx>
          <w:tblCellMar>
            <w:top w:w="0" w:type="dxa"/>
            <w:left w:w="108" w:type="dxa"/>
            <w:bottom w:w="0" w:type="dxa"/>
            <w:right w:w="108" w:type="dxa"/>
          </w:tblCellMar>
        </w:tblPrEx>
        <w:trPr>
          <w:trHeight w:val="472" w:hRule="atLeast"/>
          <w:jc w:val="center"/>
        </w:trPr>
        <w:tc>
          <w:tcPr>
            <w:tcW w:w="2981" w:type="dxa"/>
            <w:tcBorders>
              <w:top w:val="single" w:color="auto" w:sz="4" w:space="0"/>
              <w:left w:val="single" w:color="auto" w:sz="4" w:space="0"/>
              <w:bottom w:val="single" w:color="auto" w:sz="4" w:space="0"/>
              <w:right w:val="single" w:color="auto" w:sz="4" w:space="0"/>
            </w:tcBorders>
            <w:noWrap w:val="0"/>
            <w:vAlign w:val="center"/>
          </w:tcPr>
          <w:p w14:paraId="3E485E05">
            <w:pPr>
              <w:spacing w:line="320" w:lineRule="exact"/>
              <w:jc w:val="center"/>
              <w:rPr>
                <w:rFonts w:ascii="宋体" w:hAnsi="宋体" w:cs="宋体"/>
                <w:szCs w:val="21"/>
              </w:rPr>
            </w:pPr>
            <w:r>
              <w:rPr>
                <w:rFonts w:hint="eastAsia" w:ascii="宋体" w:hAnsi="宋体" w:cs="宋体"/>
                <w:szCs w:val="21"/>
              </w:rPr>
              <w:t>天生三桥小交通</w:t>
            </w:r>
          </w:p>
        </w:tc>
        <w:tc>
          <w:tcPr>
            <w:tcW w:w="2408" w:type="dxa"/>
            <w:tcBorders>
              <w:top w:val="single" w:color="auto" w:sz="4" w:space="0"/>
              <w:left w:val="nil"/>
              <w:bottom w:val="single" w:color="auto" w:sz="4" w:space="0"/>
              <w:right w:val="single" w:color="auto" w:sz="4" w:space="0"/>
            </w:tcBorders>
            <w:noWrap w:val="0"/>
            <w:vAlign w:val="center"/>
          </w:tcPr>
          <w:p w14:paraId="54CC5DAC">
            <w:pPr>
              <w:spacing w:line="320" w:lineRule="exact"/>
              <w:jc w:val="center"/>
              <w:rPr>
                <w:rFonts w:ascii="宋体" w:hAnsi="宋体" w:cs="宋体"/>
                <w:szCs w:val="21"/>
              </w:rPr>
            </w:pPr>
            <w:r>
              <w:rPr>
                <w:rFonts w:hint="eastAsia" w:ascii="宋体" w:hAnsi="宋体" w:cs="宋体"/>
                <w:szCs w:val="21"/>
              </w:rPr>
              <w:t>换车</w:t>
            </w:r>
          </w:p>
        </w:tc>
        <w:tc>
          <w:tcPr>
            <w:tcW w:w="3605" w:type="dxa"/>
            <w:tcBorders>
              <w:top w:val="single" w:color="auto" w:sz="4" w:space="0"/>
              <w:left w:val="nil"/>
              <w:bottom w:val="single" w:color="auto" w:sz="4" w:space="0"/>
              <w:right w:val="single" w:color="auto" w:sz="4" w:space="0"/>
            </w:tcBorders>
            <w:noWrap w:val="0"/>
            <w:vAlign w:val="center"/>
          </w:tcPr>
          <w:p w14:paraId="563A9611">
            <w:pPr>
              <w:spacing w:line="320" w:lineRule="exact"/>
              <w:jc w:val="center"/>
              <w:rPr>
                <w:rFonts w:ascii="宋体" w:hAnsi="宋体" w:cs="宋体"/>
                <w:szCs w:val="21"/>
              </w:rPr>
            </w:pPr>
            <w:r>
              <w:rPr>
                <w:rFonts w:hint="eastAsia" w:ascii="宋体" w:hAnsi="宋体" w:cs="宋体"/>
                <w:szCs w:val="21"/>
              </w:rPr>
              <w:t>40元（进入景区必须产生）</w:t>
            </w:r>
          </w:p>
        </w:tc>
      </w:tr>
      <w:tr w14:paraId="56607D52">
        <w:tblPrEx>
          <w:tblCellMar>
            <w:top w:w="0" w:type="dxa"/>
            <w:left w:w="108" w:type="dxa"/>
            <w:bottom w:w="0" w:type="dxa"/>
            <w:right w:w="108" w:type="dxa"/>
          </w:tblCellMar>
        </w:tblPrEx>
        <w:trPr>
          <w:trHeight w:val="352" w:hRule="atLeast"/>
          <w:jc w:val="center"/>
        </w:trPr>
        <w:tc>
          <w:tcPr>
            <w:tcW w:w="2981" w:type="dxa"/>
            <w:tcBorders>
              <w:top w:val="single" w:color="auto" w:sz="4" w:space="0"/>
              <w:left w:val="single" w:color="auto" w:sz="4" w:space="0"/>
              <w:bottom w:val="single" w:color="auto" w:sz="4" w:space="0"/>
              <w:right w:val="single" w:color="auto" w:sz="4" w:space="0"/>
            </w:tcBorders>
            <w:noWrap w:val="0"/>
            <w:vAlign w:val="center"/>
          </w:tcPr>
          <w:p w14:paraId="06E4FCAF">
            <w:pPr>
              <w:spacing w:line="320" w:lineRule="exact"/>
              <w:jc w:val="center"/>
              <w:rPr>
                <w:rFonts w:hint="eastAsia" w:ascii="宋体" w:hAnsi="宋体" w:cs="宋体"/>
                <w:szCs w:val="21"/>
              </w:rPr>
            </w:pPr>
            <w:r>
              <w:rPr>
                <w:rFonts w:hint="eastAsia" w:ascii="宋体" w:hAnsi="宋体" w:cs="宋体"/>
                <w:szCs w:val="21"/>
              </w:rPr>
              <w:t>天生三桥</w:t>
            </w:r>
          </w:p>
        </w:tc>
        <w:tc>
          <w:tcPr>
            <w:tcW w:w="2408" w:type="dxa"/>
            <w:tcBorders>
              <w:top w:val="single" w:color="auto" w:sz="4" w:space="0"/>
              <w:left w:val="nil"/>
              <w:bottom w:val="single" w:color="auto" w:sz="4" w:space="0"/>
              <w:right w:val="single" w:color="auto" w:sz="4" w:space="0"/>
            </w:tcBorders>
            <w:noWrap w:val="0"/>
            <w:vAlign w:val="center"/>
          </w:tcPr>
          <w:p w14:paraId="0E0E2F30">
            <w:pPr>
              <w:spacing w:line="320" w:lineRule="exact"/>
              <w:jc w:val="center"/>
              <w:rPr>
                <w:rFonts w:ascii="宋体" w:hAnsi="宋体" w:cs="宋体"/>
                <w:szCs w:val="21"/>
              </w:rPr>
            </w:pPr>
            <w:r>
              <w:rPr>
                <w:rFonts w:hint="eastAsia" w:ascii="宋体" w:hAnsi="宋体" w:cs="宋体"/>
                <w:szCs w:val="21"/>
              </w:rPr>
              <w:t>电瓶车</w:t>
            </w:r>
          </w:p>
        </w:tc>
        <w:tc>
          <w:tcPr>
            <w:tcW w:w="3605" w:type="dxa"/>
            <w:tcBorders>
              <w:top w:val="single" w:color="auto" w:sz="4" w:space="0"/>
              <w:left w:val="nil"/>
              <w:bottom w:val="single" w:color="auto" w:sz="4" w:space="0"/>
              <w:right w:val="single" w:color="auto" w:sz="4" w:space="0"/>
            </w:tcBorders>
            <w:noWrap w:val="0"/>
            <w:vAlign w:val="center"/>
          </w:tcPr>
          <w:p w14:paraId="59E2C88B">
            <w:pPr>
              <w:spacing w:line="320" w:lineRule="exact"/>
              <w:jc w:val="center"/>
              <w:rPr>
                <w:rFonts w:ascii="宋体" w:hAnsi="宋体" w:cs="宋体"/>
                <w:szCs w:val="21"/>
              </w:rPr>
            </w:pPr>
            <w:r>
              <w:rPr>
                <w:rFonts w:hint="eastAsia" w:ascii="宋体" w:hAnsi="宋体" w:cs="宋体"/>
                <w:szCs w:val="21"/>
              </w:rPr>
              <w:t>15元（自愿）</w:t>
            </w:r>
          </w:p>
        </w:tc>
      </w:tr>
      <w:tr w14:paraId="7E6F92FF">
        <w:tblPrEx>
          <w:tblCellMar>
            <w:top w:w="0" w:type="dxa"/>
            <w:left w:w="108" w:type="dxa"/>
            <w:bottom w:w="0" w:type="dxa"/>
            <w:right w:w="108" w:type="dxa"/>
          </w:tblCellMar>
        </w:tblPrEx>
        <w:trPr>
          <w:trHeight w:val="187" w:hRule="atLeast"/>
          <w:jc w:val="center"/>
        </w:trPr>
        <w:tc>
          <w:tcPr>
            <w:tcW w:w="2981" w:type="dxa"/>
            <w:tcBorders>
              <w:top w:val="single" w:color="auto" w:sz="4" w:space="0"/>
              <w:left w:val="single" w:color="auto" w:sz="4" w:space="0"/>
              <w:bottom w:val="single" w:color="auto" w:sz="4" w:space="0"/>
              <w:right w:val="single" w:color="auto" w:sz="4" w:space="0"/>
            </w:tcBorders>
            <w:noWrap w:val="0"/>
            <w:vAlign w:val="center"/>
          </w:tcPr>
          <w:p w14:paraId="5A0F438E">
            <w:pPr>
              <w:spacing w:line="320" w:lineRule="exact"/>
              <w:jc w:val="center"/>
              <w:rPr>
                <w:rFonts w:hint="eastAsia" w:ascii="宋体" w:hAnsi="宋体" w:cs="宋体"/>
                <w:szCs w:val="21"/>
              </w:rPr>
            </w:pPr>
            <w:r>
              <w:rPr>
                <w:rFonts w:hint="eastAsia" w:ascii="宋体" w:hAnsi="宋体" w:cs="宋体"/>
                <w:szCs w:val="21"/>
              </w:rPr>
              <w:t>仙女山小交通</w:t>
            </w:r>
          </w:p>
        </w:tc>
        <w:tc>
          <w:tcPr>
            <w:tcW w:w="2408" w:type="dxa"/>
            <w:tcBorders>
              <w:top w:val="single" w:color="auto" w:sz="4" w:space="0"/>
              <w:left w:val="nil"/>
              <w:bottom w:val="single" w:color="auto" w:sz="4" w:space="0"/>
              <w:right w:val="single" w:color="auto" w:sz="4" w:space="0"/>
            </w:tcBorders>
            <w:noWrap w:val="0"/>
            <w:vAlign w:val="center"/>
          </w:tcPr>
          <w:p w14:paraId="0ABEE415">
            <w:pPr>
              <w:spacing w:line="320" w:lineRule="exact"/>
              <w:jc w:val="center"/>
              <w:rPr>
                <w:rFonts w:hint="eastAsia" w:ascii="宋体" w:hAnsi="宋体" w:cs="宋体"/>
                <w:szCs w:val="21"/>
              </w:rPr>
            </w:pPr>
            <w:r>
              <w:rPr>
                <w:rFonts w:hint="eastAsia" w:ascii="宋体" w:hAnsi="宋体" w:cs="宋体"/>
                <w:szCs w:val="21"/>
              </w:rPr>
              <w:t>小火车</w:t>
            </w:r>
          </w:p>
        </w:tc>
        <w:tc>
          <w:tcPr>
            <w:tcW w:w="3605" w:type="dxa"/>
            <w:tcBorders>
              <w:top w:val="single" w:color="auto" w:sz="4" w:space="0"/>
              <w:left w:val="nil"/>
              <w:bottom w:val="single" w:color="auto" w:sz="4" w:space="0"/>
              <w:right w:val="single" w:color="auto" w:sz="4" w:space="0"/>
            </w:tcBorders>
            <w:noWrap w:val="0"/>
            <w:vAlign w:val="center"/>
          </w:tcPr>
          <w:p w14:paraId="05A21399">
            <w:pPr>
              <w:spacing w:line="320" w:lineRule="exact"/>
              <w:jc w:val="center"/>
              <w:rPr>
                <w:rFonts w:hint="eastAsia" w:ascii="宋体" w:hAnsi="宋体" w:cs="宋体"/>
                <w:szCs w:val="21"/>
              </w:rPr>
            </w:pPr>
            <w:r>
              <w:rPr>
                <w:rFonts w:hint="eastAsia" w:ascii="宋体" w:hAnsi="宋体" w:cs="宋体"/>
                <w:szCs w:val="21"/>
              </w:rPr>
              <w:t>25元（自愿）</w:t>
            </w:r>
          </w:p>
        </w:tc>
      </w:tr>
      <w:tr w14:paraId="657916F4">
        <w:tblPrEx>
          <w:tblCellMar>
            <w:top w:w="0" w:type="dxa"/>
            <w:left w:w="108" w:type="dxa"/>
            <w:bottom w:w="0" w:type="dxa"/>
            <w:right w:w="108" w:type="dxa"/>
          </w:tblCellMar>
        </w:tblPrEx>
        <w:trPr>
          <w:trHeight w:val="335" w:hRule="atLeast"/>
          <w:jc w:val="center"/>
        </w:trPr>
        <w:tc>
          <w:tcPr>
            <w:tcW w:w="2981" w:type="dxa"/>
            <w:tcBorders>
              <w:top w:val="single" w:color="auto" w:sz="4" w:space="0"/>
              <w:left w:val="single" w:color="auto" w:sz="4" w:space="0"/>
              <w:bottom w:val="single" w:color="auto" w:sz="4" w:space="0"/>
              <w:right w:val="single" w:color="auto" w:sz="4" w:space="0"/>
            </w:tcBorders>
            <w:noWrap w:val="0"/>
            <w:vAlign w:val="center"/>
          </w:tcPr>
          <w:p w14:paraId="080E392D">
            <w:pPr>
              <w:spacing w:line="320" w:lineRule="exact"/>
              <w:jc w:val="center"/>
              <w:rPr>
                <w:rFonts w:hint="eastAsia" w:ascii="宋体" w:hAnsi="宋体" w:eastAsia="宋体" w:cs="宋体"/>
                <w:szCs w:val="21"/>
                <w:lang w:eastAsia="zh-CN"/>
              </w:rPr>
            </w:pPr>
            <w:r>
              <w:rPr>
                <w:rFonts w:hint="eastAsia" w:ascii="宋体" w:hAnsi="宋体" w:cs="宋体"/>
                <w:szCs w:val="21"/>
              </w:rPr>
              <w:t>乌江画廊</w:t>
            </w:r>
            <w:r>
              <w:rPr>
                <w:rFonts w:hint="eastAsia" w:ascii="宋体" w:hAnsi="宋体" w:cs="宋体"/>
                <w:szCs w:val="21"/>
                <w:lang w:eastAsia="zh-CN"/>
              </w:rPr>
              <w:t>（节选）</w:t>
            </w:r>
          </w:p>
        </w:tc>
        <w:tc>
          <w:tcPr>
            <w:tcW w:w="2408" w:type="dxa"/>
            <w:tcBorders>
              <w:top w:val="single" w:color="auto" w:sz="4" w:space="0"/>
              <w:left w:val="nil"/>
              <w:bottom w:val="single" w:color="auto" w:sz="4" w:space="0"/>
              <w:right w:val="single" w:color="auto" w:sz="4" w:space="0"/>
            </w:tcBorders>
            <w:noWrap w:val="0"/>
            <w:vAlign w:val="center"/>
          </w:tcPr>
          <w:p w14:paraId="1652C801">
            <w:pPr>
              <w:spacing w:line="320" w:lineRule="exact"/>
              <w:jc w:val="center"/>
              <w:rPr>
                <w:rFonts w:hint="eastAsia" w:ascii="宋体" w:hAnsi="宋体" w:cs="宋体"/>
                <w:szCs w:val="21"/>
              </w:rPr>
            </w:pPr>
            <w:r>
              <w:rPr>
                <w:rFonts w:hint="eastAsia" w:ascii="宋体" w:hAnsi="宋体" w:cs="宋体"/>
                <w:szCs w:val="21"/>
              </w:rPr>
              <w:t>游船</w:t>
            </w:r>
          </w:p>
        </w:tc>
        <w:tc>
          <w:tcPr>
            <w:tcW w:w="3605" w:type="dxa"/>
            <w:tcBorders>
              <w:top w:val="single" w:color="auto" w:sz="4" w:space="0"/>
              <w:left w:val="nil"/>
              <w:bottom w:val="single" w:color="auto" w:sz="4" w:space="0"/>
              <w:right w:val="single" w:color="auto" w:sz="4" w:space="0"/>
            </w:tcBorders>
            <w:noWrap w:val="0"/>
            <w:vAlign w:val="center"/>
          </w:tcPr>
          <w:p w14:paraId="51004165">
            <w:pPr>
              <w:spacing w:line="320" w:lineRule="exact"/>
              <w:jc w:val="center"/>
              <w:rPr>
                <w:rFonts w:ascii="宋体" w:hAnsi="宋体" w:cs="宋体"/>
                <w:szCs w:val="21"/>
              </w:rPr>
            </w:pPr>
            <w:r>
              <w:rPr>
                <w:rFonts w:hint="eastAsia" w:ascii="宋体" w:hAnsi="宋体" w:cs="宋体"/>
                <w:szCs w:val="21"/>
              </w:rPr>
              <w:t>158元（进入景区必须产生）</w:t>
            </w:r>
          </w:p>
        </w:tc>
      </w:tr>
      <w:tr w14:paraId="18A6DB10">
        <w:tblPrEx>
          <w:tblCellMar>
            <w:top w:w="0" w:type="dxa"/>
            <w:left w:w="108" w:type="dxa"/>
            <w:bottom w:w="0" w:type="dxa"/>
            <w:right w:w="108" w:type="dxa"/>
          </w:tblCellMar>
        </w:tblPrEx>
        <w:trPr>
          <w:trHeight w:val="287" w:hRule="atLeast"/>
          <w:jc w:val="center"/>
        </w:trPr>
        <w:tc>
          <w:tcPr>
            <w:tcW w:w="2981" w:type="dxa"/>
            <w:tcBorders>
              <w:top w:val="single" w:color="auto" w:sz="4" w:space="0"/>
              <w:left w:val="single" w:color="auto" w:sz="4" w:space="0"/>
              <w:bottom w:val="single" w:color="auto" w:sz="4" w:space="0"/>
              <w:right w:val="single" w:color="auto" w:sz="4" w:space="0"/>
            </w:tcBorders>
            <w:noWrap w:val="0"/>
            <w:vAlign w:val="center"/>
          </w:tcPr>
          <w:p w14:paraId="3D6BFFF0">
            <w:pPr>
              <w:spacing w:line="320" w:lineRule="exact"/>
              <w:jc w:val="center"/>
              <w:rPr>
                <w:rFonts w:hint="eastAsia" w:ascii="宋体" w:hAnsi="宋体" w:cs="宋体"/>
                <w:szCs w:val="21"/>
              </w:rPr>
            </w:pPr>
            <w:r>
              <w:rPr>
                <w:rFonts w:hint="eastAsia" w:ascii="宋体" w:hAnsi="宋体" w:cs="宋体"/>
                <w:szCs w:val="21"/>
              </w:rPr>
              <w:t>天坑天龙旋转电梯</w:t>
            </w:r>
          </w:p>
        </w:tc>
        <w:tc>
          <w:tcPr>
            <w:tcW w:w="2408" w:type="dxa"/>
            <w:tcBorders>
              <w:top w:val="single" w:color="auto" w:sz="4" w:space="0"/>
              <w:left w:val="nil"/>
              <w:bottom w:val="single" w:color="auto" w:sz="4" w:space="0"/>
              <w:right w:val="single" w:color="auto" w:sz="4" w:space="0"/>
            </w:tcBorders>
            <w:noWrap w:val="0"/>
            <w:vAlign w:val="center"/>
          </w:tcPr>
          <w:p w14:paraId="43DF4318">
            <w:pPr>
              <w:spacing w:line="320" w:lineRule="exact"/>
              <w:jc w:val="center"/>
              <w:rPr>
                <w:rFonts w:hint="eastAsia" w:ascii="宋体" w:hAnsi="宋体" w:cs="宋体"/>
                <w:szCs w:val="21"/>
              </w:rPr>
            </w:pPr>
            <w:r>
              <w:rPr>
                <w:rFonts w:hint="eastAsia" w:ascii="宋体" w:hAnsi="宋体" w:cs="宋体"/>
                <w:szCs w:val="21"/>
              </w:rPr>
              <w:t>电梯</w:t>
            </w:r>
          </w:p>
        </w:tc>
        <w:tc>
          <w:tcPr>
            <w:tcW w:w="3605" w:type="dxa"/>
            <w:tcBorders>
              <w:top w:val="single" w:color="auto" w:sz="4" w:space="0"/>
              <w:left w:val="nil"/>
              <w:bottom w:val="single" w:color="auto" w:sz="4" w:space="0"/>
              <w:right w:val="single" w:color="auto" w:sz="4" w:space="0"/>
            </w:tcBorders>
            <w:noWrap w:val="0"/>
            <w:vAlign w:val="center"/>
          </w:tcPr>
          <w:p w14:paraId="027EF016">
            <w:pPr>
              <w:spacing w:line="320" w:lineRule="exact"/>
              <w:jc w:val="center"/>
              <w:rPr>
                <w:rFonts w:ascii="宋体" w:hAnsi="宋体" w:cs="宋体"/>
                <w:szCs w:val="21"/>
              </w:rPr>
            </w:pPr>
            <w:r>
              <w:rPr>
                <w:rFonts w:hint="eastAsia" w:ascii="宋体" w:hAnsi="宋体" w:cs="宋体"/>
                <w:szCs w:val="21"/>
                <w:lang w:val="en-US" w:eastAsia="zh-CN"/>
              </w:rPr>
              <w:t>45</w:t>
            </w:r>
            <w:r>
              <w:rPr>
                <w:rFonts w:hint="eastAsia" w:ascii="宋体" w:hAnsi="宋体" w:cs="宋体"/>
                <w:szCs w:val="21"/>
              </w:rPr>
              <w:t>元（进入景区必须产生）</w:t>
            </w:r>
          </w:p>
        </w:tc>
      </w:tr>
    </w:tbl>
    <w:p w14:paraId="40B05C83">
      <w:pPr>
        <w:pStyle w:val="2"/>
        <w:ind w:left="0" w:leftChars="0" w:firstLine="0" w:firstLineChars="0"/>
        <w:rPr>
          <w:rFonts w:hint="eastAsia" w:ascii="微软雅黑" w:hAnsi="微软雅黑" w:eastAsia="微软雅黑" w:cs="微软雅黑"/>
          <w:lang w:val="zh-CN"/>
        </w:rPr>
      </w:pPr>
    </w:p>
    <w:p w14:paraId="2A5E22EB">
      <w:pPr>
        <w:pStyle w:val="2"/>
        <w:ind w:left="0" w:leftChars="0" w:firstLine="0" w:firstLineChars="0"/>
        <w:rPr>
          <w:rFonts w:hint="eastAsia" w:ascii="微软雅黑" w:hAnsi="微软雅黑" w:eastAsia="微软雅黑" w:cs="微软雅黑"/>
          <w:lang w:val="zh-CN"/>
        </w:rPr>
      </w:pPr>
    </w:p>
    <w:p w14:paraId="583F8C66">
      <w:pPr>
        <w:pStyle w:val="2"/>
        <w:rPr>
          <w:rFonts w:hint="eastAsia" w:ascii="微软雅黑" w:hAnsi="微软雅黑" w:eastAsia="微软雅黑" w:cs="微软雅黑"/>
          <w:lang w:val="zh-CN"/>
        </w:rPr>
      </w:pPr>
    </w:p>
    <w:p w14:paraId="0EB23AAF">
      <w:pPr>
        <w:pStyle w:val="2"/>
        <w:rPr>
          <w:rFonts w:hint="eastAsia" w:ascii="微软雅黑" w:hAnsi="微软雅黑" w:eastAsia="微软雅黑" w:cs="微软雅黑"/>
          <w:lang w:val="zh-CN"/>
        </w:rPr>
      </w:pPr>
    </w:p>
    <w:p w14:paraId="5656E63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微软雅黑" w:hAnsi="微软雅黑" w:eastAsia="微软雅黑" w:cs="微软雅黑"/>
          <w:lang w:val="zh-CN"/>
        </w:rPr>
      </w:pPr>
    </w:p>
    <w:p w14:paraId="50558749">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p>
    <w:p w14:paraId="1121226D">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p>
    <w:p w14:paraId="3FD2E1D3">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二、相关约定</w:t>
      </w:r>
    </w:p>
    <w:p w14:paraId="47F6B52B">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w:t>
      </w:r>
    </w:p>
    <w:p w14:paraId="304D9CC2">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0" w:firstLineChars="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相关部门举报。本协议约定的上述自费旅游项目若未达到约定最低参加人数的，双方同意以上自费旅游项目协议条款不生效且对双方均无约束力。上述自费旅游项目遇不可抗力或旅行社、履行辅助人已尽合理注意义务仍不能避免的事件的，双方有权解除，旅行社在扣除已向履行辅助人支付且不可退还的实际费用后（如团队优惠政策或国家优惠政策），将余款退还旅游者。签署本协议前，旅行社已将自费项目的安全风险注意事项告知旅游者，（如跳伞、跳水、潜水、攀岩、漂流等高风险活动）旅游者应根据身体条件谨慎选择，旅游者在本协议签字确认视为其已明确知悉相应安全风险注意事项，并自愿承受相应后果。</w:t>
      </w:r>
    </w:p>
    <w:p w14:paraId="70BDAA59">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本协议约定下由甲方协助安排乙方参加的自费旅游项目费用缴纳方式为：</w:t>
      </w:r>
    </w:p>
    <w:p w14:paraId="54D2E01D">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1）如在旅行途中发生的其费用直接交带团导游；</w:t>
      </w:r>
    </w:p>
    <w:p w14:paraId="112A7E95">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2）如在旅行途中发生的其费用直接由旅行者本人付费。</w:t>
      </w:r>
      <w:r>
        <w:rPr>
          <w:rFonts w:hint="eastAsia" w:ascii="微软雅黑" w:hAnsi="微软雅黑" w:eastAsia="微软雅黑" w:cs="微软雅黑"/>
          <w:lang w:val="zh-CN"/>
        </w:rPr>
        <w:tab/>
      </w:r>
    </w:p>
    <w:p w14:paraId="7426C208">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本协议约定下由甲方协助安排乙方参加的自费旅游项目，如甲方违反上述第二条第1、2点约定之一的，旅游者有权在团队行程结束30天内向组团社要求退回自费款项，组团社需无条件退回旅游者自费旅游项目费用。旅游者参加非旅行社安排且是在本协议约定以外的自费旅游项目导致人身安全或财产损失的，参照旅游法第七十条款。</w:t>
      </w:r>
    </w:p>
    <w:p w14:paraId="4A8E29CB">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 xml:space="preserve"> 本协议如有争议，双方协商解决，协商不成的均可向旅游行业主管部门举报或向有管辖权的人民法院提起诉讼。</w:t>
      </w:r>
    </w:p>
    <w:p w14:paraId="6D093F3E">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 xml:space="preserve"> 本协议一式二份，双方各执一份，受组团社及地接社委托该团导游为甲方授权签字代表，乙方为旅游者本人（18周岁以下未成年人需监护人签名）。旅游者不止一人的，合同实际签名者为签约代表，该代表应将合同各种信息（包括补充协议书、出团通知书、安全须知等）如实全面告知其他合同当事人，其他合同当事人与该代表对本合同及各种信息（包括补充协议书、出团通知书、安全须知等）具有同等知悉程度。</w:t>
      </w:r>
    </w:p>
    <w:p w14:paraId="62B553FE">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我已阅读以上行程、提示和补充协议书，并完全理解和同意，已收到《中国公民国内旅游文明行为公约》和《旅游维权手册》。</w:t>
      </w:r>
    </w:p>
    <w:p w14:paraId="63E0BCBD">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甲方（旅行社）：                              乙方（旅游者）：</w:t>
      </w:r>
    </w:p>
    <w:p w14:paraId="7778F4B8">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p>
    <w:p w14:paraId="257629FC">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rPr>
      </w:pPr>
    </w:p>
    <w:p w14:paraId="4742FE76">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rPr>
        <w:t xml:space="preserve">  时间：  电话：                              时间：  电话：</w:t>
      </w: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337D"/>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030D34"/>
    <w:rsid w:val="011C4CF6"/>
    <w:rsid w:val="01261E1A"/>
    <w:rsid w:val="012D0479"/>
    <w:rsid w:val="0157064E"/>
    <w:rsid w:val="016469E8"/>
    <w:rsid w:val="019761CA"/>
    <w:rsid w:val="02492FB3"/>
    <w:rsid w:val="029C3B08"/>
    <w:rsid w:val="032D0FCD"/>
    <w:rsid w:val="03343D40"/>
    <w:rsid w:val="034E7440"/>
    <w:rsid w:val="034F4ACE"/>
    <w:rsid w:val="0378130B"/>
    <w:rsid w:val="037B7F1C"/>
    <w:rsid w:val="03A87411"/>
    <w:rsid w:val="04272382"/>
    <w:rsid w:val="04483997"/>
    <w:rsid w:val="05077321"/>
    <w:rsid w:val="055664B3"/>
    <w:rsid w:val="058A6E18"/>
    <w:rsid w:val="05BB103F"/>
    <w:rsid w:val="05C8291B"/>
    <w:rsid w:val="05CD1C2A"/>
    <w:rsid w:val="05EB75A5"/>
    <w:rsid w:val="06BA3154"/>
    <w:rsid w:val="06C8688F"/>
    <w:rsid w:val="06D25850"/>
    <w:rsid w:val="0704296D"/>
    <w:rsid w:val="07072A72"/>
    <w:rsid w:val="070D6730"/>
    <w:rsid w:val="07121211"/>
    <w:rsid w:val="07134710"/>
    <w:rsid w:val="072C1A93"/>
    <w:rsid w:val="073B1CE0"/>
    <w:rsid w:val="07723FAA"/>
    <w:rsid w:val="07D30491"/>
    <w:rsid w:val="07E9375F"/>
    <w:rsid w:val="080639DA"/>
    <w:rsid w:val="08863B53"/>
    <w:rsid w:val="089B2EF1"/>
    <w:rsid w:val="08BE6C67"/>
    <w:rsid w:val="08E5797A"/>
    <w:rsid w:val="091D389B"/>
    <w:rsid w:val="09337B5B"/>
    <w:rsid w:val="09420551"/>
    <w:rsid w:val="095A2369"/>
    <w:rsid w:val="098442F1"/>
    <w:rsid w:val="09B830C9"/>
    <w:rsid w:val="09C35CEF"/>
    <w:rsid w:val="09D10E6F"/>
    <w:rsid w:val="09E225A5"/>
    <w:rsid w:val="09F65C36"/>
    <w:rsid w:val="09FB503E"/>
    <w:rsid w:val="0A14245F"/>
    <w:rsid w:val="0A735171"/>
    <w:rsid w:val="0A7E1D45"/>
    <w:rsid w:val="0A8473AE"/>
    <w:rsid w:val="0A8A2888"/>
    <w:rsid w:val="0A9760CA"/>
    <w:rsid w:val="0AB416DB"/>
    <w:rsid w:val="0B4A3C17"/>
    <w:rsid w:val="0B7C24E7"/>
    <w:rsid w:val="0B7F3A6A"/>
    <w:rsid w:val="0B835865"/>
    <w:rsid w:val="0B9B10B5"/>
    <w:rsid w:val="0BF25217"/>
    <w:rsid w:val="0C096925"/>
    <w:rsid w:val="0C450D6C"/>
    <w:rsid w:val="0C6F3428"/>
    <w:rsid w:val="0C7E69E5"/>
    <w:rsid w:val="0CE63B48"/>
    <w:rsid w:val="0CF60FD3"/>
    <w:rsid w:val="0D5F66AE"/>
    <w:rsid w:val="0D6C10EE"/>
    <w:rsid w:val="0DC9323A"/>
    <w:rsid w:val="0E4949A1"/>
    <w:rsid w:val="0E850379"/>
    <w:rsid w:val="0EDC68F7"/>
    <w:rsid w:val="0EF273CF"/>
    <w:rsid w:val="10F16AE3"/>
    <w:rsid w:val="110513E7"/>
    <w:rsid w:val="11427B0D"/>
    <w:rsid w:val="11B34360"/>
    <w:rsid w:val="11F96D38"/>
    <w:rsid w:val="12361B78"/>
    <w:rsid w:val="12663953"/>
    <w:rsid w:val="12EF0A4F"/>
    <w:rsid w:val="13072C60"/>
    <w:rsid w:val="13371388"/>
    <w:rsid w:val="133B7B9C"/>
    <w:rsid w:val="136A4169"/>
    <w:rsid w:val="13EC55EC"/>
    <w:rsid w:val="13F66591"/>
    <w:rsid w:val="14321F2A"/>
    <w:rsid w:val="143C7B63"/>
    <w:rsid w:val="150D1EBE"/>
    <w:rsid w:val="153703F4"/>
    <w:rsid w:val="159C58D1"/>
    <w:rsid w:val="15B0279D"/>
    <w:rsid w:val="15B36F61"/>
    <w:rsid w:val="15D42860"/>
    <w:rsid w:val="15FF7837"/>
    <w:rsid w:val="16960D6D"/>
    <w:rsid w:val="16D056D6"/>
    <w:rsid w:val="16F07B27"/>
    <w:rsid w:val="16F7733F"/>
    <w:rsid w:val="17222925"/>
    <w:rsid w:val="17A77194"/>
    <w:rsid w:val="17AB7D29"/>
    <w:rsid w:val="17AE51C3"/>
    <w:rsid w:val="17AF7A04"/>
    <w:rsid w:val="17CC1A18"/>
    <w:rsid w:val="183B6DAB"/>
    <w:rsid w:val="1862729A"/>
    <w:rsid w:val="189A56D0"/>
    <w:rsid w:val="18BC4164"/>
    <w:rsid w:val="198F3627"/>
    <w:rsid w:val="19B07A1C"/>
    <w:rsid w:val="19F63A29"/>
    <w:rsid w:val="1A066980"/>
    <w:rsid w:val="1A371E92"/>
    <w:rsid w:val="1A4B1305"/>
    <w:rsid w:val="1B4A6010"/>
    <w:rsid w:val="1BA04EFC"/>
    <w:rsid w:val="1BF73A36"/>
    <w:rsid w:val="1C4C0D55"/>
    <w:rsid w:val="1C4E38DD"/>
    <w:rsid w:val="1C4E77C9"/>
    <w:rsid w:val="1C7F5262"/>
    <w:rsid w:val="1CA647A6"/>
    <w:rsid w:val="1CA66D5E"/>
    <w:rsid w:val="1CED73D2"/>
    <w:rsid w:val="1D1F4CA2"/>
    <w:rsid w:val="1D3A4BE6"/>
    <w:rsid w:val="1D5C01C9"/>
    <w:rsid w:val="1E3501C4"/>
    <w:rsid w:val="1E69412A"/>
    <w:rsid w:val="1E841FFE"/>
    <w:rsid w:val="1F246147"/>
    <w:rsid w:val="1F3A5DE3"/>
    <w:rsid w:val="1F4D65B6"/>
    <w:rsid w:val="1FBC28E0"/>
    <w:rsid w:val="1FE3552A"/>
    <w:rsid w:val="200F7270"/>
    <w:rsid w:val="205B6E3B"/>
    <w:rsid w:val="20C45EF0"/>
    <w:rsid w:val="217A05A1"/>
    <w:rsid w:val="21B76F72"/>
    <w:rsid w:val="22233137"/>
    <w:rsid w:val="22464DDD"/>
    <w:rsid w:val="22586EEA"/>
    <w:rsid w:val="22840166"/>
    <w:rsid w:val="22E744D4"/>
    <w:rsid w:val="230D784D"/>
    <w:rsid w:val="23D5466C"/>
    <w:rsid w:val="23E40D09"/>
    <w:rsid w:val="244B5D34"/>
    <w:rsid w:val="24705D36"/>
    <w:rsid w:val="24D80578"/>
    <w:rsid w:val="257A557F"/>
    <w:rsid w:val="25986633"/>
    <w:rsid w:val="259A25D7"/>
    <w:rsid w:val="26A435E6"/>
    <w:rsid w:val="27026F8E"/>
    <w:rsid w:val="270D1EB7"/>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AB2B4A"/>
    <w:rsid w:val="2BE02D66"/>
    <w:rsid w:val="2BF57730"/>
    <w:rsid w:val="2C1874AC"/>
    <w:rsid w:val="2C493A17"/>
    <w:rsid w:val="2C665AE5"/>
    <w:rsid w:val="2CB96718"/>
    <w:rsid w:val="2CBB7012"/>
    <w:rsid w:val="2CF439DB"/>
    <w:rsid w:val="2D234CF5"/>
    <w:rsid w:val="2D3B0A92"/>
    <w:rsid w:val="2D612987"/>
    <w:rsid w:val="2DC860A6"/>
    <w:rsid w:val="2DF67CC1"/>
    <w:rsid w:val="2E614260"/>
    <w:rsid w:val="2EC75720"/>
    <w:rsid w:val="2EDE4234"/>
    <w:rsid w:val="2EE948D6"/>
    <w:rsid w:val="2EF53261"/>
    <w:rsid w:val="2F046E1E"/>
    <w:rsid w:val="2F357C66"/>
    <w:rsid w:val="2F4F4441"/>
    <w:rsid w:val="2FB909F9"/>
    <w:rsid w:val="2FE11772"/>
    <w:rsid w:val="30BA4CEE"/>
    <w:rsid w:val="30DF0305"/>
    <w:rsid w:val="30EE2ED1"/>
    <w:rsid w:val="3143321D"/>
    <w:rsid w:val="315D7DA4"/>
    <w:rsid w:val="31646571"/>
    <w:rsid w:val="319A0FE4"/>
    <w:rsid w:val="31F10857"/>
    <w:rsid w:val="321C2BAF"/>
    <w:rsid w:val="32A3555E"/>
    <w:rsid w:val="32C2475E"/>
    <w:rsid w:val="331B16C0"/>
    <w:rsid w:val="33261046"/>
    <w:rsid w:val="33963A1E"/>
    <w:rsid w:val="33A15FD9"/>
    <w:rsid w:val="33DD2C4D"/>
    <w:rsid w:val="33FC4F3D"/>
    <w:rsid w:val="34192013"/>
    <w:rsid w:val="342E081E"/>
    <w:rsid w:val="34B72093"/>
    <w:rsid w:val="358C22F5"/>
    <w:rsid w:val="36276C4F"/>
    <w:rsid w:val="36775E73"/>
    <w:rsid w:val="36C52BE2"/>
    <w:rsid w:val="370F5DD1"/>
    <w:rsid w:val="371B773A"/>
    <w:rsid w:val="37305A51"/>
    <w:rsid w:val="37FA789F"/>
    <w:rsid w:val="37FF748C"/>
    <w:rsid w:val="38180079"/>
    <w:rsid w:val="381F242D"/>
    <w:rsid w:val="3901371D"/>
    <w:rsid w:val="39B44CE2"/>
    <w:rsid w:val="39ED3ED1"/>
    <w:rsid w:val="3A297CD2"/>
    <w:rsid w:val="3A9665B5"/>
    <w:rsid w:val="3AB309C7"/>
    <w:rsid w:val="3B4B164C"/>
    <w:rsid w:val="3C0C0AA1"/>
    <w:rsid w:val="3C164A8D"/>
    <w:rsid w:val="3C39735A"/>
    <w:rsid w:val="3C4D011D"/>
    <w:rsid w:val="3C5710E9"/>
    <w:rsid w:val="3CB7466E"/>
    <w:rsid w:val="3E2245A8"/>
    <w:rsid w:val="3E6413E1"/>
    <w:rsid w:val="3F1E55F3"/>
    <w:rsid w:val="3F440007"/>
    <w:rsid w:val="3F655F46"/>
    <w:rsid w:val="3F711169"/>
    <w:rsid w:val="3F895B21"/>
    <w:rsid w:val="3FC83389"/>
    <w:rsid w:val="3FC93043"/>
    <w:rsid w:val="406B3968"/>
    <w:rsid w:val="40B04456"/>
    <w:rsid w:val="40FB5581"/>
    <w:rsid w:val="4119604E"/>
    <w:rsid w:val="42090DDA"/>
    <w:rsid w:val="4226335B"/>
    <w:rsid w:val="42601C60"/>
    <w:rsid w:val="428E46BB"/>
    <w:rsid w:val="429152B6"/>
    <w:rsid w:val="429945EC"/>
    <w:rsid w:val="43170206"/>
    <w:rsid w:val="43607270"/>
    <w:rsid w:val="43B6787E"/>
    <w:rsid w:val="43C51CEE"/>
    <w:rsid w:val="43D93497"/>
    <w:rsid w:val="43F67038"/>
    <w:rsid w:val="441145F8"/>
    <w:rsid w:val="442C6A73"/>
    <w:rsid w:val="442D18F9"/>
    <w:rsid w:val="449414B5"/>
    <w:rsid w:val="44C256D2"/>
    <w:rsid w:val="44D5743D"/>
    <w:rsid w:val="45295867"/>
    <w:rsid w:val="453942C3"/>
    <w:rsid w:val="45445823"/>
    <w:rsid w:val="459840BF"/>
    <w:rsid w:val="45EB289C"/>
    <w:rsid w:val="460401AE"/>
    <w:rsid w:val="46335606"/>
    <w:rsid w:val="46446916"/>
    <w:rsid w:val="46454B73"/>
    <w:rsid w:val="46486737"/>
    <w:rsid w:val="46A00465"/>
    <w:rsid w:val="4762127A"/>
    <w:rsid w:val="47830661"/>
    <w:rsid w:val="47E32FBE"/>
    <w:rsid w:val="47E8112C"/>
    <w:rsid w:val="47EA5D88"/>
    <w:rsid w:val="482C228A"/>
    <w:rsid w:val="4836317F"/>
    <w:rsid w:val="487842FA"/>
    <w:rsid w:val="48B6105C"/>
    <w:rsid w:val="48E63442"/>
    <w:rsid w:val="495C4A24"/>
    <w:rsid w:val="4976505A"/>
    <w:rsid w:val="49ED548C"/>
    <w:rsid w:val="4A1C41B3"/>
    <w:rsid w:val="4A3F45BD"/>
    <w:rsid w:val="4A4A4481"/>
    <w:rsid w:val="4B711B74"/>
    <w:rsid w:val="4C212059"/>
    <w:rsid w:val="4C4D68A6"/>
    <w:rsid w:val="4C813A93"/>
    <w:rsid w:val="4C887A2D"/>
    <w:rsid w:val="4CB521FE"/>
    <w:rsid w:val="4CDB3060"/>
    <w:rsid w:val="4CF0081A"/>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316796"/>
    <w:rsid w:val="513D41D6"/>
    <w:rsid w:val="51560851"/>
    <w:rsid w:val="521603C2"/>
    <w:rsid w:val="523C2D3F"/>
    <w:rsid w:val="524C7FC1"/>
    <w:rsid w:val="52992947"/>
    <w:rsid w:val="52D7336D"/>
    <w:rsid w:val="52F03774"/>
    <w:rsid w:val="538B0C1D"/>
    <w:rsid w:val="53C84C9E"/>
    <w:rsid w:val="53FD32A8"/>
    <w:rsid w:val="54027369"/>
    <w:rsid w:val="540602EE"/>
    <w:rsid w:val="54576766"/>
    <w:rsid w:val="54C97A24"/>
    <w:rsid w:val="54EC6085"/>
    <w:rsid w:val="551A3EF8"/>
    <w:rsid w:val="55393E6B"/>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5A4825"/>
    <w:rsid w:val="58744AC1"/>
    <w:rsid w:val="589119DA"/>
    <w:rsid w:val="58B61A9D"/>
    <w:rsid w:val="58C33C5A"/>
    <w:rsid w:val="58CC3EAD"/>
    <w:rsid w:val="58F12E9E"/>
    <w:rsid w:val="59032417"/>
    <w:rsid w:val="59923649"/>
    <w:rsid w:val="59AC2042"/>
    <w:rsid w:val="59DF74B6"/>
    <w:rsid w:val="5A596CA5"/>
    <w:rsid w:val="5A71367A"/>
    <w:rsid w:val="5AB53F94"/>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EE528C7"/>
    <w:rsid w:val="5F2534E9"/>
    <w:rsid w:val="5F3B0C4C"/>
    <w:rsid w:val="5F5F6ADB"/>
    <w:rsid w:val="5F744E64"/>
    <w:rsid w:val="5F791051"/>
    <w:rsid w:val="5FA76558"/>
    <w:rsid w:val="5FCB7F72"/>
    <w:rsid w:val="6018347B"/>
    <w:rsid w:val="60C73DE5"/>
    <w:rsid w:val="60EA73D6"/>
    <w:rsid w:val="6133198D"/>
    <w:rsid w:val="61672233"/>
    <w:rsid w:val="617E0AF8"/>
    <w:rsid w:val="619304B3"/>
    <w:rsid w:val="61B57C03"/>
    <w:rsid w:val="62C82EE3"/>
    <w:rsid w:val="63006B79"/>
    <w:rsid w:val="63600E30"/>
    <w:rsid w:val="637C1DF3"/>
    <w:rsid w:val="63D342E8"/>
    <w:rsid w:val="640D5BAD"/>
    <w:rsid w:val="64113417"/>
    <w:rsid w:val="642C1302"/>
    <w:rsid w:val="648C5748"/>
    <w:rsid w:val="65AE41C1"/>
    <w:rsid w:val="65B95839"/>
    <w:rsid w:val="65CB7234"/>
    <w:rsid w:val="65DC23AC"/>
    <w:rsid w:val="66373B7E"/>
    <w:rsid w:val="664D50DC"/>
    <w:rsid w:val="66935810"/>
    <w:rsid w:val="669D3B0F"/>
    <w:rsid w:val="66A84CFD"/>
    <w:rsid w:val="66AC566C"/>
    <w:rsid w:val="66BC2D34"/>
    <w:rsid w:val="66C90E48"/>
    <w:rsid w:val="66EE3BC9"/>
    <w:rsid w:val="672E5BEB"/>
    <w:rsid w:val="677F50DB"/>
    <w:rsid w:val="678A07EE"/>
    <w:rsid w:val="67A4786A"/>
    <w:rsid w:val="67B67376"/>
    <w:rsid w:val="67BF6452"/>
    <w:rsid w:val="67C03F80"/>
    <w:rsid w:val="67FC30CE"/>
    <w:rsid w:val="681542C4"/>
    <w:rsid w:val="688B5C95"/>
    <w:rsid w:val="68FA48D7"/>
    <w:rsid w:val="691335F2"/>
    <w:rsid w:val="693D2D72"/>
    <w:rsid w:val="694F4AE2"/>
    <w:rsid w:val="696401FF"/>
    <w:rsid w:val="699A749A"/>
    <w:rsid w:val="69AA7668"/>
    <w:rsid w:val="69C60062"/>
    <w:rsid w:val="69EB0FCF"/>
    <w:rsid w:val="6A206802"/>
    <w:rsid w:val="6AF7140F"/>
    <w:rsid w:val="6B317667"/>
    <w:rsid w:val="6B7F494F"/>
    <w:rsid w:val="6B8D6287"/>
    <w:rsid w:val="6BC51A85"/>
    <w:rsid w:val="6BD1058C"/>
    <w:rsid w:val="6BD603FA"/>
    <w:rsid w:val="6BE57596"/>
    <w:rsid w:val="6C4F545A"/>
    <w:rsid w:val="6C664AF2"/>
    <w:rsid w:val="6CED3119"/>
    <w:rsid w:val="6D091E11"/>
    <w:rsid w:val="6D194D70"/>
    <w:rsid w:val="6D2F38CE"/>
    <w:rsid w:val="6DA4008B"/>
    <w:rsid w:val="6DC12526"/>
    <w:rsid w:val="6DF26396"/>
    <w:rsid w:val="6F162691"/>
    <w:rsid w:val="6F20013B"/>
    <w:rsid w:val="6FCC47C8"/>
    <w:rsid w:val="716F2C97"/>
    <w:rsid w:val="71D37635"/>
    <w:rsid w:val="721D55D9"/>
    <w:rsid w:val="722A21C5"/>
    <w:rsid w:val="72370D0B"/>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E6EA4"/>
    <w:rsid w:val="75242E64"/>
    <w:rsid w:val="753627B5"/>
    <w:rsid w:val="753D37FC"/>
    <w:rsid w:val="760A3A78"/>
    <w:rsid w:val="76290CF7"/>
    <w:rsid w:val="76377102"/>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A8155F0"/>
    <w:rsid w:val="7B2A1EE8"/>
    <w:rsid w:val="7B2C39A7"/>
    <w:rsid w:val="7BDE4262"/>
    <w:rsid w:val="7C80044E"/>
    <w:rsid w:val="7C97416D"/>
    <w:rsid w:val="7CC145C3"/>
    <w:rsid w:val="7CCC5221"/>
    <w:rsid w:val="7D027BEA"/>
    <w:rsid w:val="7D2F4E8F"/>
    <w:rsid w:val="7D5B2135"/>
    <w:rsid w:val="7D742E1F"/>
    <w:rsid w:val="7D7A3790"/>
    <w:rsid w:val="7D7E5EC1"/>
    <w:rsid w:val="7DA66CC3"/>
    <w:rsid w:val="7DB0236B"/>
    <w:rsid w:val="7DBB271B"/>
    <w:rsid w:val="7DDF7215"/>
    <w:rsid w:val="7DE14F1D"/>
    <w:rsid w:val="7E1274F2"/>
    <w:rsid w:val="7E2A7DC1"/>
    <w:rsid w:val="7E2D0915"/>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1706</Words>
  <Characters>1760</Characters>
  <Lines>41</Lines>
  <Paragraphs>11</Paragraphs>
  <TotalTime>10</TotalTime>
  <ScaleCrop>false</ScaleCrop>
  <LinksUpToDate>false</LinksUpToDate>
  <CharactersWithSpaces>1879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2025-12-29T01:40:36Z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8F9C191C02B5406CBA8D6F83C67C3AB0_13</vt:lpwstr>
  </property>
  <property fmtid="{D5CDD505-2E9C-101B-9397-08002B2CF9AE}" pid="5" name="KSOTemplateDocerSaveRecord">
    <vt:lpwstr>eyJoZGlkIjoiMmE0YmQyZThkMDNhOTk1MzM1Njg4M2U1ZjYyNjBjYjMiLCJ1c2VySWQiOiI2NTYxMjIzMDcifQ==</vt:lpwstr>
  </property>
</Properties>
</file>