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6"/>
          <w:szCs w:val="16"/>
          <w:lang w:eastAsia="zh-CN"/>
        </w:rPr>
      </w:pPr>
      <w:r>
        <w:rPr>
          <w:rFonts w:hint="eastAsia"/>
          <w:sz w:val="18"/>
          <w:szCs w:val="18"/>
          <w:lang w:val="en-US" w:eastAsia="zh-CN"/>
        </w:rPr>
        <w:t xml:space="preserve">          </w:t>
      </w:r>
    </w:p>
    <w:p w14:paraId="524B979F">
      <w:pPr>
        <w:rPr>
          <w:rFonts w:hint="eastAsia"/>
          <w:lang w:eastAsia="zh-CN"/>
        </w:rPr>
      </w:pPr>
      <w:r>
        <w:rPr>
          <w:rFonts w:hint="eastAsia"/>
          <w:lang w:eastAsia="zh-CN"/>
        </w:rPr>
        <w:br w:type="page"/>
      </w:r>
      <w:r>
        <w:rPr>
          <w:rFonts w:hint="eastAsia"/>
          <w:sz w:val="18"/>
          <w:szCs w:val="18"/>
          <w:lang w:val="en-US" w:eastAsia="zh-CN"/>
        </w:rPr>
        <w:drawing>
          <wp:anchor distT="0" distB="0" distL="114300" distR="114300" simplePos="0" relativeHeight="251659264" behindDoc="0" locked="0" layoutInCell="1" allowOverlap="1">
            <wp:simplePos x="0" y="0"/>
            <wp:positionH relativeFrom="column">
              <wp:posOffset>-215900</wp:posOffset>
            </wp:positionH>
            <wp:positionV relativeFrom="paragraph">
              <wp:posOffset>-557530</wp:posOffset>
            </wp:positionV>
            <wp:extent cx="7586980" cy="10680065"/>
            <wp:effectExtent l="0" t="0" r="13970" b="6985"/>
            <wp:wrapNone/>
            <wp:docPr id="1" name="图片 1" descr="7da10b95d4162b293b17d8ffa07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da10b95d4162b293b17d8ffa078661"/>
                    <pic:cNvPicPr>
                      <a:picLocks noChangeAspect="1"/>
                    </pic:cNvPicPr>
                  </pic:nvPicPr>
                  <pic:blipFill>
                    <a:blip r:embed="rId7"/>
                    <a:stretch>
                      <a:fillRect/>
                    </a:stretch>
                  </pic:blipFill>
                  <pic:spPr>
                    <a:xfrm>
                      <a:off x="0" y="0"/>
                      <a:ext cx="7586980" cy="10680065"/>
                    </a:xfrm>
                    <a:prstGeom prst="rect">
                      <a:avLst/>
                    </a:prstGeom>
                  </pic:spPr>
                </pic:pic>
              </a:graphicData>
            </a:graphic>
          </wp:anchor>
        </w:drawing>
      </w:r>
    </w:p>
    <w:p w14:paraId="13B614BF">
      <w:pPr>
        <w:rPr>
          <w:rFonts w:hint="eastAsia"/>
          <w:lang w:eastAsia="zh-CN"/>
        </w:rPr>
      </w:pPr>
      <w:r>
        <w:rPr>
          <w:rFonts w:hint="eastAsia"/>
          <w:lang w:eastAsia="zh-CN"/>
        </w:rPr>
        <w:br w:type="page"/>
      </w:r>
      <w:r>
        <w:rPr>
          <w:position w:val="-336"/>
        </w:rPr>
        <w:drawing>
          <wp:anchor distT="0" distB="0" distL="0" distR="0" simplePos="0" relativeHeight="251660288" behindDoc="0" locked="0" layoutInCell="1" allowOverlap="1">
            <wp:simplePos x="0" y="0"/>
            <wp:positionH relativeFrom="column">
              <wp:posOffset>-250190</wp:posOffset>
            </wp:positionH>
            <wp:positionV relativeFrom="paragraph">
              <wp:posOffset>-417830</wp:posOffset>
            </wp:positionV>
            <wp:extent cx="7636510" cy="10951845"/>
            <wp:effectExtent l="0" t="0" r="2540" b="1905"/>
            <wp:wrapNone/>
            <wp:docPr id="2" name="IM 6"/>
            <wp:cNvGraphicFramePr/>
            <a:graphic xmlns:a="http://schemas.openxmlformats.org/drawingml/2006/main">
              <a:graphicData uri="http://schemas.openxmlformats.org/drawingml/2006/picture">
                <pic:pic xmlns:pic="http://schemas.openxmlformats.org/drawingml/2006/picture">
                  <pic:nvPicPr>
                    <pic:cNvPr id="2" name="IM 6"/>
                    <pic:cNvPicPr/>
                  </pic:nvPicPr>
                  <pic:blipFill>
                    <a:blip r:embed="rId8"/>
                    <a:stretch>
                      <a:fillRect/>
                    </a:stretch>
                  </pic:blipFill>
                  <pic:spPr>
                    <a:xfrm>
                      <a:off x="0" y="0"/>
                      <a:ext cx="7636510" cy="10951845"/>
                    </a:xfrm>
                    <a:prstGeom prst="rect">
                      <a:avLst/>
                    </a:prstGeom>
                  </pic:spPr>
                </pic:pic>
              </a:graphicData>
            </a:graphic>
          </wp:anchor>
        </w:drawing>
      </w:r>
    </w:p>
    <w:p w14:paraId="50164E42">
      <w:pPr>
        <w:rPr>
          <w:rFonts w:hint="eastAsia"/>
          <w:lang w:eastAsia="zh-CN"/>
        </w:rPr>
      </w:pPr>
      <w:r>
        <w:rPr>
          <w:rFonts w:hint="eastAsia"/>
          <w:lang w:eastAsia="zh-CN"/>
        </w:rPr>
        <w:br w:type="page"/>
      </w:r>
      <w:r>
        <w:rPr>
          <w:position w:val="-336"/>
        </w:rPr>
        <w:drawing>
          <wp:anchor distT="0" distB="0" distL="0" distR="0" simplePos="0" relativeHeight="251661312" behindDoc="0" locked="0" layoutInCell="1" allowOverlap="1">
            <wp:simplePos x="0" y="0"/>
            <wp:positionH relativeFrom="column">
              <wp:posOffset>-250190</wp:posOffset>
            </wp:positionH>
            <wp:positionV relativeFrom="paragraph">
              <wp:posOffset>-392430</wp:posOffset>
            </wp:positionV>
            <wp:extent cx="7809865" cy="11082020"/>
            <wp:effectExtent l="0" t="0" r="635" b="508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
                    <a:stretch>
                      <a:fillRect/>
                    </a:stretch>
                  </pic:blipFill>
                  <pic:spPr>
                    <a:xfrm>
                      <a:off x="0" y="0"/>
                      <a:ext cx="7809865" cy="11082020"/>
                    </a:xfrm>
                    <a:prstGeom prst="rect">
                      <a:avLst/>
                    </a:prstGeom>
                  </pic:spPr>
                </pic:pic>
              </a:graphicData>
            </a:graphic>
          </wp:anchor>
        </w:drawing>
      </w:r>
    </w:p>
    <w:p w14:paraId="3382E702">
      <w:pPr>
        <w:rPr>
          <w:rFonts w:hint="eastAsia"/>
          <w:lang w:eastAsia="zh-CN"/>
        </w:rPr>
      </w:pPr>
      <w:r>
        <w:rPr>
          <w:position w:val="-336"/>
        </w:rPr>
        <w:drawing>
          <wp:anchor distT="0" distB="0" distL="0" distR="0" simplePos="0" relativeHeight="251662336" behindDoc="0" locked="0" layoutInCell="1" allowOverlap="1">
            <wp:simplePos x="0" y="0"/>
            <wp:positionH relativeFrom="column">
              <wp:posOffset>-207645</wp:posOffset>
            </wp:positionH>
            <wp:positionV relativeFrom="paragraph">
              <wp:posOffset>-461645</wp:posOffset>
            </wp:positionV>
            <wp:extent cx="7559675" cy="10683875"/>
            <wp:effectExtent l="0" t="0" r="3175" b="3175"/>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
                    <a:stretch>
                      <a:fillRect/>
                    </a:stretch>
                  </pic:blipFill>
                  <pic:spPr>
                    <a:xfrm>
                      <a:off x="0" y="0"/>
                      <a:ext cx="7559675" cy="10683875"/>
                    </a:xfrm>
                    <a:prstGeom prst="rect">
                      <a:avLst/>
                    </a:prstGeom>
                  </pic:spPr>
                </pic:pic>
              </a:graphicData>
            </a:graphic>
          </wp:anchor>
        </w:drawing>
      </w:r>
      <w:r>
        <w:rPr>
          <w:rFonts w:hint="eastAsia"/>
          <w:lang w:eastAsia="zh-CN"/>
        </w:rPr>
        <w:br w:type="page"/>
      </w:r>
      <w:r>
        <w:rPr>
          <w:rFonts w:hint="eastAsia"/>
          <w:lang w:eastAsia="zh-CN"/>
        </w:rPr>
        <w:br w:type="page"/>
      </w:r>
      <w:r>
        <w:rPr>
          <w:position w:val="-336"/>
        </w:rPr>
        <w:drawing>
          <wp:anchor distT="0" distB="0" distL="0" distR="0" simplePos="0" relativeHeight="251663360" behindDoc="0" locked="0" layoutInCell="1" allowOverlap="1">
            <wp:simplePos x="0" y="0"/>
            <wp:positionH relativeFrom="column">
              <wp:posOffset>-225425</wp:posOffset>
            </wp:positionH>
            <wp:positionV relativeFrom="paragraph">
              <wp:posOffset>-418465</wp:posOffset>
            </wp:positionV>
            <wp:extent cx="7559675" cy="10683875"/>
            <wp:effectExtent l="0" t="0" r="3175" b="3175"/>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7559675" cy="10683875"/>
                    </a:xfrm>
                    <a:prstGeom prst="rect">
                      <a:avLst/>
                    </a:prstGeom>
                  </pic:spPr>
                </pic:pic>
              </a:graphicData>
            </a:graphic>
          </wp:anchor>
        </w:drawing>
      </w:r>
    </w:p>
    <w:p w14:paraId="1A0EB33E">
      <w:pPr>
        <w:rPr>
          <w:rFonts w:hint="eastAsia"/>
          <w:lang w:eastAsia="zh-CN"/>
        </w:rPr>
      </w:pPr>
      <w:r>
        <w:rPr>
          <w:position w:val="-336"/>
        </w:rPr>
        <w:drawing>
          <wp:anchor distT="0" distB="0" distL="0" distR="0" simplePos="0" relativeHeight="251664384" behindDoc="0" locked="0" layoutInCell="1" allowOverlap="1">
            <wp:simplePos x="0" y="0"/>
            <wp:positionH relativeFrom="column">
              <wp:posOffset>-216535</wp:posOffset>
            </wp:positionH>
            <wp:positionV relativeFrom="paragraph">
              <wp:posOffset>-366395</wp:posOffset>
            </wp:positionV>
            <wp:extent cx="7559675" cy="10683875"/>
            <wp:effectExtent l="0" t="0" r="3175" b="3175"/>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7559675" cy="10683875"/>
                    </a:xfrm>
                    <a:prstGeom prst="rect">
                      <a:avLst/>
                    </a:prstGeom>
                  </pic:spPr>
                </pic:pic>
              </a:graphicData>
            </a:graphic>
          </wp:anchor>
        </w:drawing>
      </w:r>
    </w:p>
    <w:p w14:paraId="36C2C4F3">
      <w:pPr>
        <w:rPr>
          <w:rFonts w:hint="eastAsia"/>
          <w:lang w:eastAsia="zh-CN"/>
        </w:rPr>
      </w:pPr>
      <w:r>
        <w:rPr>
          <w:rFonts w:hint="eastAsia"/>
          <w:lang w:eastAsia="zh-CN"/>
        </w:rPr>
        <w:br w:type="page"/>
      </w:r>
    </w:p>
    <w:p w14:paraId="634E25EF">
      <w:pPr>
        <w:rPr>
          <w:rFonts w:hint="eastAsia" w:ascii="微软雅黑" w:hAnsi="微软雅黑" w:eastAsia="微软雅黑" w:cs="微软雅黑"/>
          <w:b/>
          <w:bCs/>
          <w:color w:val="00B050"/>
          <w:sz w:val="52"/>
          <w:szCs w:val="52"/>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655"/>
        <w:gridCol w:w="900"/>
        <w:gridCol w:w="163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星际阿波罗】宜昌-重庆-宜昌（下水）</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D38E775">
            <w:pPr>
              <w:jc w:val="center"/>
              <w:rPr>
                <w:rFonts w:hint="default"/>
                <w:b/>
                <w:color w:val="FF0000"/>
                <w:sz w:val="28"/>
                <w:szCs w:val="28"/>
                <w:lang w:val="en-US"/>
              </w:rPr>
            </w:pPr>
            <w:r>
              <w:rPr>
                <w:rFonts w:hint="eastAsia" w:ascii="微软雅黑" w:hAnsi="微软雅黑" w:eastAsia="微软雅黑" w:cs="微软雅黑"/>
                <w:b/>
                <w:bCs/>
                <w:color w:val="00B050"/>
                <w:sz w:val="30"/>
                <w:szCs w:val="30"/>
                <w:lang w:val="en-US" w:eastAsia="zh-CN"/>
              </w:rPr>
              <w:t>宜昌+三峡大坝+ 网红重庆双飞6日游</w:t>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20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63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宜昌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3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0DCF19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AB4B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EEC0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重庆自由活动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登船</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DB83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1C21E0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7C132C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639" w:type="dxa"/>
            <w:tcBorders>
              <w:top w:val="single" w:color="auto" w:sz="4" w:space="0"/>
              <w:left w:val="single" w:color="auto" w:sz="4" w:space="0"/>
              <w:bottom w:val="single" w:color="auto" w:sz="4" w:space="0"/>
              <w:right w:val="single" w:color="auto" w:sz="4" w:space="0"/>
            </w:tcBorders>
            <w:shd w:val="clear" w:color="auto" w:fill="C5E0B3"/>
            <w:vAlign w:val="center"/>
          </w:tcPr>
          <w:p w14:paraId="3BD0E3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游轮</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5"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丰都鬼城</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石宝寨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3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游轮</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白帝城(自理)</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小三峡(自理)</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瞿塘峡</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巫峡</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3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游轮</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三峡大坝</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升船机（自理）</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三峡游客中心</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宜昌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3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3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回家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/船方</w:t>
            </w:r>
            <w:r>
              <w:rPr>
                <w:rFonts w:hint="eastAsia" w:ascii="微软雅黑" w:hAnsi="微软雅黑" w:eastAsia="微软雅黑" w:cs="微软雅黑"/>
                <w:color w:val="000000" w:themeColor="text1"/>
                <w:sz w:val="24"/>
                <w:szCs w:val="24"/>
                <w14:textFill>
                  <w14:solidFill>
                    <w14:schemeClr w14:val="tx1"/>
                  </w14:solidFill>
                </w14:textFill>
              </w:rPr>
              <w:t>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宜昌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BC162A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宋体" w:cs="微软雅黑"/>
                <w:lang w:val="en-US" w:eastAsia="zh-CN"/>
              </w:rPr>
            </w:pPr>
            <w:r>
              <w:rPr>
                <w:rFonts w:hint="eastAsia" w:ascii="微软雅黑" w:hAnsi="微软雅黑" w:eastAsia="微软雅黑" w:cs="微软雅黑"/>
                <w:kern w:val="2"/>
                <w:sz w:val="21"/>
                <w:szCs w:val="21"/>
                <w:lang w:val="en-US" w:eastAsia="zh-CN" w:bidi="ar-SA"/>
              </w:rPr>
              <w:t>出发地乘</w:t>
            </w:r>
            <w:r>
              <w:rPr>
                <w:rFonts w:hint="eastAsia" w:ascii="微软雅黑" w:hAnsi="微软雅黑" w:eastAsia="微软雅黑" w:cs="微软雅黑"/>
                <w:b/>
                <w:bCs/>
                <w:color w:val="FF0000"/>
                <w:sz w:val="21"/>
                <w:szCs w:val="21"/>
                <w:lang w:val="en-US" w:eastAsia="zh-CN"/>
              </w:rPr>
              <w:t>【出发航班】</w:t>
            </w:r>
            <w:r>
              <w:rPr>
                <w:rFonts w:hint="eastAsia" w:ascii="微软雅黑" w:hAnsi="微软雅黑" w:eastAsia="微软雅黑" w:cs="微软雅黑"/>
                <w:kern w:val="2"/>
                <w:sz w:val="21"/>
                <w:szCs w:val="21"/>
                <w:lang w:val="en-US" w:eastAsia="zh-CN" w:bidi="ar-SA"/>
              </w:rPr>
              <w:t>至宜昌，</w:t>
            </w:r>
            <w:r>
              <w:rPr>
                <w:rFonts w:hint="eastAsia" w:ascii="微软雅黑" w:hAnsi="微软雅黑" w:eastAsia="微软雅黑" w:cs="微软雅黑"/>
              </w:rPr>
              <w:t>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（接团方式：接站前一天下午19:00-22:00前短信通知接团方式及再次跟您核对航班号/车次及接团人员名称，人数）</w:t>
            </w:r>
            <w:r>
              <w:rPr>
                <w:rFonts w:hint="eastAsia" w:ascii="黑体" w:hAnsi="黑体" w:eastAsia="黑体" w:cs="黑体"/>
                <w:sz w:val="21"/>
                <w:szCs w:val="21"/>
                <w:lang w:val="en-US" w:eastAsia="zh-CN"/>
              </w:rPr>
              <w:t>前往指定酒店，办理入住</w:t>
            </w:r>
            <w:r>
              <w:rPr>
                <w:rFonts w:hint="eastAsia" w:ascii="微软雅黑" w:hAnsi="微软雅黑" w:eastAsia="微软雅黑" w:cs="微软雅黑"/>
              </w:rPr>
              <w:t>，入住酒店休息</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jc w:val="left"/>
              <w:rPr>
                <w:rStyle w:val="22"/>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宜昌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重庆</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登船                                  </w:t>
            </w:r>
            <w:r>
              <w:rPr>
                <w:rFonts w:hint="eastAsia" w:ascii="微软雅黑" w:hAnsi="微软雅黑" w:eastAsia="微软雅黑" w:cs="微软雅黑"/>
                <w:b/>
                <w:bCs/>
                <w:color w:val="FFFFFF"/>
                <w:sz w:val="24"/>
                <w:lang w:val="en-US" w:eastAsia="zh-CN"/>
              </w:rPr>
              <w:t>用餐/早   住宿/游轮</w:t>
            </w:r>
          </w:p>
        </w:tc>
      </w:tr>
      <w:tr w14:paraId="0F566F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6575D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早餐后乘动车前往重庆，抵达后前往码头，可自由活动后根据时间登船；</w:t>
            </w:r>
          </w:p>
          <w:p w14:paraId="3D97F0B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17:30-18:00 抵达重庆朝天门码头登船</w:t>
            </w:r>
          </w:p>
          <w:p w14:paraId="2B4E14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19:30-20:00 游轮开航（宿游轮上）</w:t>
            </w:r>
            <w:bookmarkStart w:id="1" w:name="_GoBack"/>
            <w:bookmarkEnd w:id="1"/>
          </w:p>
          <w:p w14:paraId="775B116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pacing w:val="8"/>
                <w:lang w:val="en-US" w:eastAsia="zh-CN"/>
              </w:rPr>
            </w:pPr>
            <w:r>
              <w:rPr>
                <w:rFonts w:hint="eastAsia" w:ascii="微软雅黑" w:hAnsi="微软雅黑" w:eastAsia="微软雅黑" w:cs="微软雅黑"/>
                <w:sz w:val="21"/>
                <w:szCs w:val="21"/>
                <w:lang w:val="en-US" w:eastAsia="zh-CN"/>
              </w:rPr>
              <w:t>20:00  举行游船说明会。</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jc w:val="left"/>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丰都鬼城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石宝寨</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lang w:val="en-US" w:eastAsia="zh-CN"/>
              </w:rPr>
              <w:t xml:space="preserve"> 用餐/早/中/晚 住宿/游轮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8"/>
                <w:szCs w:val="28"/>
                <w:lang w:val="en-US" w:eastAsia="zh-CN"/>
              </w:rPr>
              <w:t xml:space="preserve">                       </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1CAC1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06:00-06:30   免费早咖啡、精美茶点</w:t>
            </w:r>
          </w:p>
          <w:p w14:paraId="1F3981B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06:30-07:30   自助早餐</w:t>
            </w:r>
          </w:p>
          <w:p w14:paraId="0CF1DE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sz w:val="21"/>
                <w:szCs w:val="21"/>
                <w:lang w:val="en-US" w:eastAsia="zh-CN"/>
              </w:rPr>
              <w:t>08:30-11:00   抵达丰都，上岸游览 4A 级</w:t>
            </w:r>
            <w:r>
              <w:rPr>
                <w:rFonts w:hint="eastAsia" w:ascii="微软雅黑" w:hAnsi="微软雅黑" w:eastAsia="微软雅黑" w:cs="微软雅黑"/>
                <w:b/>
                <w:bCs/>
                <w:color w:val="FF0000"/>
                <w:kern w:val="2"/>
                <w:sz w:val="21"/>
                <w:szCs w:val="21"/>
                <w:lang w:val="en-US" w:eastAsia="zh-CN" w:bidi="ar-SA"/>
              </w:rPr>
              <w:t>【丰都鬼城景区】</w:t>
            </w:r>
          </w:p>
          <w:p w14:paraId="4703A4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12:00-13:30   自助午餐</w:t>
            </w:r>
          </w:p>
          <w:p w14:paraId="79B397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sz w:val="21"/>
                <w:szCs w:val="21"/>
                <w:lang w:val="en-US" w:eastAsia="zh-CN"/>
              </w:rPr>
              <w:t>16:00-17:30   上岸游览世界八大奇异建筑之一的</w:t>
            </w:r>
            <w:r>
              <w:rPr>
                <w:rFonts w:hint="eastAsia" w:ascii="微软雅黑" w:hAnsi="微软雅黑" w:eastAsia="微软雅黑" w:cs="微软雅黑"/>
                <w:b/>
                <w:bCs/>
                <w:color w:val="FF0000"/>
                <w:kern w:val="2"/>
                <w:sz w:val="21"/>
                <w:szCs w:val="21"/>
                <w:lang w:val="en-US" w:eastAsia="zh-CN" w:bidi="ar-SA"/>
              </w:rPr>
              <w:t>【石宝寨】</w:t>
            </w:r>
          </w:p>
          <w:p w14:paraId="10ACF3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17:40-18:40   自助晚餐</w:t>
            </w:r>
          </w:p>
          <w:p w14:paraId="5A92642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 w:val="21"/>
                <w:szCs w:val="21"/>
                <w:lang w:val="en-US" w:eastAsia="zh-CN"/>
              </w:rPr>
            </w:pPr>
            <w:r>
              <w:rPr>
                <w:rFonts w:hint="eastAsia" w:ascii="微软雅黑" w:hAnsi="微软雅黑" w:eastAsia="微软雅黑" w:cs="微软雅黑"/>
                <w:sz w:val="21"/>
                <w:szCs w:val="21"/>
                <w:lang w:val="en-US" w:eastAsia="zh-CN"/>
              </w:rPr>
              <w:t>20:30-21:30   船长欢迎酒会，游船续航</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keepNext w:val="0"/>
              <w:keepLines w:val="0"/>
              <w:pageBreakBefore w:val="0"/>
              <w:widowControl w:val="0"/>
              <w:kinsoku/>
              <w:wordWrap/>
              <w:overflowPunct/>
              <w:topLinePunct w:val="0"/>
              <w:autoSpaceDE/>
              <w:autoSpaceDN/>
              <w:bidi w:val="0"/>
              <w:adjustRightInd/>
              <w:snapToGrid/>
              <w:spacing w:line="360" w:lineRule="exact"/>
              <w:ind w:left="7844" w:hanging="7844" w:hangingChars="2800"/>
              <w:jc w:val="left"/>
              <w:textAlignment w:val="auto"/>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w:t>
            </w:r>
            <w:r>
              <w:rPr>
                <w:rFonts w:hint="eastAsia" w:ascii="微软雅黑" w:hAnsi="微软雅黑" w:eastAsia="微软雅黑" w:cs="微软雅黑"/>
                <w:b/>
                <w:bCs/>
                <w:color w:val="FFFFFF"/>
                <w:sz w:val="28"/>
                <w:szCs w:val="28"/>
                <w:lang w:val="en-US" w:eastAsia="zh-CN"/>
              </w:rPr>
              <w:t>天 白帝城(自理)</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小三峡(自理)</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瞿塘峡</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巫峡</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4"/>
                <w:lang w:val="en-US" w:eastAsia="zh-CN"/>
              </w:rPr>
              <w:t>用餐/早/中/晚 住宿/游轮</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1" w:hRule="atLeast"/>
        </w:trPr>
        <w:tc>
          <w:tcPr>
            <w:tcW w:w="11628" w:type="dxa"/>
            <w:gridSpan w:val="6"/>
            <w:tcBorders>
              <w:top w:val="single" w:color="auto" w:sz="4" w:space="0"/>
              <w:left w:val="single" w:color="auto" w:sz="4" w:space="0"/>
              <w:bottom w:val="single" w:color="auto" w:sz="4" w:space="0"/>
              <w:right w:val="single" w:color="auto" w:sz="4" w:space="0"/>
            </w:tcBorders>
          </w:tcPr>
          <w:p w14:paraId="20AF03FF">
            <w:pPr>
              <w:pStyle w:val="23"/>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b w:val="0"/>
                <w:bCs w:val="0"/>
                <w:color w:val="000000"/>
                <w:kern w:val="0"/>
                <w:sz w:val="21"/>
                <w:szCs w:val="21"/>
                <w:highlight w:val="none"/>
                <w:lang w:val="en-US" w:eastAsia="zh-CN" w:bidi="ar"/>
              </w:rPr>
            </w:pPr>
            <w:r>
              <w:rPr>
                <w:rFonts w:hint="eastAsia" w:ascii="微软雅黑" w:hAnsi="微软雅黑" w:eastAsia="微软雅黑" w:cs="微软雅黑"/>
                <w:b w:val="0"/>
                <w:bCs w:val="0"/>
                <w:color w:val="000000"/>
                <w:kern w:val="0"/>
                <w:sz w:val="21"/>
                <w:szCs w:val="21"/>
                <w:highlight w:val="none"/>
                <w:lang w:val="en-US" w:eastAsia="zh-CN" w:bidi="ar"/>
              </w:rPr>
              <w:t>06:00-06:30   免费早咖啡、精美茶点</w:t>
            </w:r>
          </w:p>
          <w:p w14:paraId="3DFB8963">
            <w:pPr>
              <w:pStyle w:val="23"/>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b w:val="0"/>
                <w:bCs w:val="0"/>
                <w:color w:val="000000"/>
                <w:kern w:val="0"/>
                <w:sz w:val="21"/>
                <w:szCs w:val="21"/>
                <w:highlight w:val="none"/>
                <w:lang w:val="en-US" w:eastAsia="zh-CN" w:bidi="ar"/>
              </w:rPr>
            </w:pPr>
            <w:r>
              <w:rPr>
                <w:rFonts w:hint="eastAsia" w:ascii="微软雅黑" w:hAnsi="微软雅黑" w:eastAsia="微软雅黑" w:cs="微软雅黑"/>
                <w:b w:val="0"/>
                <w:bCs w:val="0"/>
                <w:color w:val="000000"/>
                <w:kern w:val="0"/>
                <w:sz w:val="21"/>
                <w:szCs w:val="21"/>
                <w:highlight w:val="none"/>
                <w:lang w:val="en-US" w:eastAsia="zh-CN" w:bidi="ar"/>
              </w:rPr>
              <w:t>06:30-07:30   自助早餐</w:t>
            </w:r>
          </w:p>
          <w:p w14:paraId="541329E4">
            <w:pPr>
              <w:pStyle w:val="23"/>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b w:val="0"/>
                <w:bCs w:val="0"/>
                <w:color w:val="000000"/>
                <w:kern w:val="0"/>
                <w:sz w:val="21"/>
                <w:szCs w:val="21"/>
                <w:highlight w:val="none"/>
                <w:lang w:val="en-US" w:eastAsia="zh-CN" w:bidi="ar"/>
              </w:rPr>
            </w:pPr>
            <w:r>
              <w:rPr>
                <w:rFonts w:hint="eastAsia" w:ascii="微软雅黑" w:hAnsi="微软雅黑" w:eastAsia="微软雅黑" w:cs="微软雅黑"/>
                <w:b w:val="0"/>
                <w:bCs w:val="0"/>
                <w:color w:val="000000"/>
                <w:kern w:val="0"/>
                <w:sz w:val="21"/>
                <w:szCs w:val="21"/>
                <w:highlight w:val="none"/>
                <w:lang w:val="en-US" w:eastAsia="zh-CN" w:bidi="ar"/>
              </w:rPr>
              <w:t>08:00-11:00   自由活动时间： 自选游览</w:t>
            </w:r>
            <w:r>
              <w:rPr>
                <w:rFonts w:hint="eastAsia" w:ascii="微软雅黑" w:hAnsi="微软雅黑" w:eastAsia="微软雅黑" w:cs="微软雅黑"/>
                <w:b/>
                <w:bCs/>
                <w:color w:val="FF0000"/>
                <w:kern w:val="2"/>
                <w:sz w:val="21"/>
                <w:szCs w:val="21"/>
                <w:lang w:val="en-US" w:eastAsia="zh-CN" w:bidi="ar-SA"/>
              </w:rPr>
              <w:t>【白帝城】（代售 290 元/人）</w:t>
            </w:r>
          </w:p>
          <w:p w14:paraId="13A63467">
            <w:pPr>
              <w:pStyle w:val="23"/>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 :00-11:30   游船启航，经过瞿塘峡，在船上观看到以威武雄壮著称的三峡【夔门】。</w:t>
            </w:r>
          </w:p>
          <w:p w14:paraId="625F7B52">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12:00-13:00   自助午餐</w:t>
            </w:r>
          </w:p>
          <w:p w14:paraId="4CB1E6D4">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14:00-18:00   抵达巫山， 自选游览</w:t>
            </w:r>
            <w:r>
              <w:rPr>
                <w:rFonts w:hint="eastAsia" w:ascii="微软雅黑" w:hAnsi="微软雅黑" w:eastAsia="微软雅黑" w:cs="微软雅黑"/>
                <w:b/>
                <w:bCs/>
                <w:color w:val="FF0000"/>
                <w:kern w:val="2"/>
                <w:sz w:val="21"/>
                <w:szCs w:val="21"/>
                <w:lang w:val="en-US" w:eastAsia="zh-CN" w:bidi="ar-SA"/>
              </w:rPr>
              <w:t>【小三峡】（代售 290 元/人）</w:t>
            </w:r>
          </w:p>
          <w:p w14:paraId="36250B56">
            <w:pPr>
              <w:pStyle w:val="23"/>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18:00-18:30   游轮经过</w:t>
            </w:r>
            <w:r>
              <w:rPr>
                <w:rFonts w:hint="eastAsia" w:ascii="微软雅黑" w:hAnsi="微软雅黑" w:eastAsia="微软雅黑" w:cs="微软雅黑"/>
                <w:b/>
                <w:bCs/>
                <w:color w:val="FF0000"/>
                <w:kern w:val="2"/>
                <w:sz w:val="21"/>
                <w:szCs w:val="21"/>
                <w:lang w:val="en-US" w:eastAsia="zh-CN" w:bidi="ar-SA"/>
              </w:rPr>
              <w:t>【巫峡（船观）】</w:t>
            </w:r>
          </w:p>
          <w:p w14:paraId="38D688D2">
            <w:pPr>
              <w:pStyle w:val="23"/>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18:30-19:30   自助晚餐</w:t>
            </w:r>
          </w:p>
          <w:p w14:paraId="00522E62">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b/>
                <w:bCs/>
                <w:color w:val="0070C0"/>
                <w:kern w:val="2"/>
                <w:sz w:val="21"/>
                <w:szCs w:val="21"/>
                <w:lang w:val="en-US" w:eastAsia="zh-CN" w:bidi="ar-SA"/>
              </w:rPr>
            </w:pPr>
            <w:r>
              <w:rPr>
                <w:rFonts w:hint="eastAsia" w:ascii="微软雅黑" w:hAnsi="微软雅黑" w:eastAsia="微软雅黑" w:cs="微软雅黑"/>
                <w:b/>
                <w:bCs/>
                <w:color w:val="0070C0"/>
                <w:kern w:val="2"/>
                <w:sz w:val="21"/>
                <w:szCs w:val="21"/>
                <w:lang w:val="en-US" w:eastAsia="zh-CN" w:bidi="ar-SA"/>
              </w:rPr>
              <w:t>备注:</w:t>
            </w:r>
          </w:p>
          <w:p w14:paraId="72FA0A60">
            <w:pPr>
              <w:keepNext w:val="0"/>
              <w:keepLines w:val="0"/>
              <w:pageBreakBefore w:val="0"/>
              <w:widowControl w:val="0"/>
              <w:numPr>
                <w:numId w:val="0"/>
              </w:numPr>
              <w:kinsoku/>
              <w:wordWrap/>
              <w:overflowPunct/>
              <w:topLinePunct w:val="0"/>
              <w:autoSpaceDE/>
              <w:autoSpaceDN/>
              <w:bidi w:val="0"/>
              <w:adjustRightInd/>
              <w:spacing w:line="360" w:lineRule="exact"/>
              <w:textAlignment w:val="auto"/>
              <w:rPr>
                <w:rFonts w:hint="eastAsia" w:ascii="微软雅黑" w:hAnsi="微软雅黑" w:eastAsia="微软雅黑" w:cs="微软雅黑"/>
                <w:b/>
                <w:bCs/>
                <w:color w:val="0070C0"/>
                <w:kern w:val="2"/>
                <w:sz w:val="21"/>
                <w:szCs w:val="21"/>
                <w:lang w:val="en-US" w:eastAsia="zh-CN" w:bidi="ar-SA"/>
              </w:rPr>
            </w:pPr>
            <w:r>
              <w:rPr>
                <w:rFonts w:hint="eastAsia" w:ascii="微软雅黑" w:hAnsi="微软雅黑" w:eastAsia="微软雅黑" w:cs="微软雅黑"/>
                <w:b/>
                <w:bCs/>
                <w:color w:val="0070C0"/>
                <w:kern w:val="2"/>
                <w:sz w:val="21"/>
                <w:szCs w:val="21"/>
                <w:lang w:val="en-US" w:eastAsia="zh-CN" w:bidi="ar-SA"/>
              </w:rPr>
              <w:t>1.自费小三峡290,同时赠送小小三峡</w:t>
            </w:r>
          </w:p>
          <w:p w14:paraId="64E2262A">
            <w:pPr>
              <w:keepNext w:val="0"/>
              <w:keepLines w:val="0"/>
              <w:pageBreakBefore w:val="0"/>
              <w:widowControl w:val="0"/>
              <w:numPr>
                <w:ilvl w:val="0"/>
                <w:numId w:val="0"/>
              </w:numPr>
              <w:kinsoku/>
              <w:wordWrap/>
              <w:overflowPunct/>
              <w:topLinePunct w:val="0"/>
              <w:autoSpaceDE/>
              <w:autoSpaceDN/>
              <w:bidi w:val="0"/>
              <w:adjustRightInd/>
              <w:spacing w:line="360" w:lineRule="exact"/>
              <w:textAlignment w:val="auto"/>
              <w:rPr>
                <w:rFonts w:hint="eastAsia"/>
                <w:spacing w:val="2"/>
                <w:lang w:val="en-US" w:eastAsia="zh-CN"/>
              </w:rPr>
            </w:pPr>
            <w:r>
              <w:rPr>
                <w:rFonts w:hint="eastAsia" w:ascii="微软雅黑" w:hAnsi="微软雅黑" w:eastAsia="微软雅黑" w:cs="微软雅黑"/>
                <w:b/>
                <w:bCs/>
                <w:color w:val="0070C0"/>
                <w:kern w:val="2"/>
                <w:sz w:val="21"/>
                <w:szCs w:val="21"/>
                <w:lang w:val="en-US" w:eastAsia="zh-CN" w:bidi="ar-SA"/>
              </w:rPr>
              <w:t>2.小小三峡景点为赠送景点,如因天气原因无法游览,旅行社不退任何费用!</w:t>
            </w:r>
          </w:p>
        </w:tc>
      </w:tr>
      <w:tr w14:paraId="26559A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61C0BC0">
            <w:pPr>
              <w:pStyle w:val="5"/>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kern w:val="2"/>
                <w:sz w:val="28"/>
                <w:szCs w:val="28"/>
                <w:lang w:val="en-US" w:eastAsia="zh-CN" w:bidi="ar-SA"/>
              </w:rPr>
              <w:t>五天  三峡大坝</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升船机（自理）</w:t>
            </w:r>
            <w:r>
              <w:rPr>
                <w:rFonts w:hint="eastAsia" w:ascii="微软雅黑" w:hAnsi="微软雅黑" w:eastAsia="微软雅黑" w:cs="微软雅黑"/>
                <w:b/>
                <w:bCs/>
                <w:color w:val="FFFFFF"/>
                <w:kern w:val="2"/>
                <w:sz w:val="28"/>
                <w:szCs w:val="28"/>
                <w:lang w:val="en-US" w:eastAsia="zh-CN" w:bidi="ar-SA"/>
              </w:rPr>
              <w:t>三峡游客中心</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宜昌</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31D8AF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5C3A0C5">
            <w:pPr>
              <w:pStyle w:val="23"/>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06:30-07:30   自助早餐后，到总台退还房卡！回房间等候广播通知离船！</w:t>
            </w:r>
          </w:p>
          <w:p w14:paraId="5159A6D9">
            <w:pPr>
              <w:pStyle w:val="23"/>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07:30-11:30   前往游览国家5级</w:t>
            </w:r>
            <w:r>
              <w:rPr>
                <w:rFonts w:hint="eastAsia" w:ascii="微软雅黑" w:hAnsi="微软雅黑" w:eastAsia="微软雅黑" w:cs="微软雅黑"/>
                <w:b/>
                <w:bCs/>
                <w:color w:val="FF0000"/>
                <w:kern w:val="2"/>
                <w:sz w:val="21"/>
                <w:szCs w:val="21"/>
                <w:lang w:val="en-US" w:eastAsia="zh-CN" w:bidi="ar-SA"/>
              </w:rPr>
              <w:t>【三峡大坝风景区】</w:t>
            </w:r>
            <w:r>
              <w:rPr>
                <w:rFonts w:hint="eastAsia" w:ascii="微软雅黑" w:hAnsi="微软雅黑" w:eastAsia="微软雅黑" w:cs="微软雅黑"/>
                <w:kern w:val="2"/>
                <w:sz w:val="21"/>
                <w:szCs w:val="21"/>
                <w:lang w:val="en-US" w:eastAsia="zh-CN" w:bidi="ar-SA"/>
              </w:rPr>
              <w:t xml:space="preserve"> 自选乘坐国家4A级</w:t>
            </w:r>
            <w:r>
              <w:rPr>
                <w:rFonts w:hint="eastAsia" w:ascii="微软雅黑" w:hAnsi="微软雅黑" w:eastAsia="微软雅黑" w:cs="微软雅黑"/>
                <w:b/>
                <w:bCs/>
                <w:color w:val="FF0000"/>
                <w:kern w:val="2"/>
                <w:sz w:val="21"/>
                <w:szCs w:val="21"/>
                <w:lang w:val="en-US" w:eastAsia="zh-CN" w:bidi="ar-SA"/>
              </w:rPr>
              <w:t>【三峡大坝垂直升船机】（代售 320 元/人）</w:t>
            </w:r>
          </w:p>
          <w:p w14:paraId="59CED722">
            <w:pPr>
              <w:pStyle w:val="23"/>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12:00-12:30   乘车前往宜昌三峡游客中心散团。</w:t>
            </w:r>
          </w:p>
          <w:p w14:paraId="74601415">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14:30       （预计到达时间）参观升船机的宾客约 14:30 到达宜昌三峡游客中心（万达广场对面）；</w:t>
            </w:r>
          </w:p>
          <w:p w14:paraId="1276ED04">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后前往酒店入住！</w:t>
            </w:r>
          </w:p>
        </w:tc>
      </w:tr>
      <w:tr w14:paraId="573474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1CBE8C7">
            <w:pPr>
              <w:pStyle w:val="5"/>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kern w:val="2"/>
                <w:sz w:val="28"/>
                <w:szCs w:val="28"/>
                <w:lang w:val="en-US" w:eastAsia="zh-CN" w:bidi="ar-SA"/>
              </w:rPr>
              <w:t>天  宜昌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出发地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回家</w:t>
            </w:r>
          </w:p>
        </w:tc>
      </w:tr>
      <w:tr w14:paraId="358AE2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C769C4F">
            <w:pPr>
              <w:pStyle w:val="5"/>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default"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微软雅黑" w:hAnsi="微软雅黑" w:eastAsia="微软雅黑" w:cs="微软雅黑"/>
                <w:kern w:val="2"/>
                <w:sz w:val="21"/>
                <w:szCs w:val="21"/>
                <w:lang w:val="en-US" w:eastAsia="zh-CN" w:bidi="ar-SA"/>
              </w:rPr>
              <w:t>早餐后自由活动，后根据航班时间送机前往机场，乘坐</w:t>
            </w:r>
            <w:r>
              <w:rPr>
                <w:rFonts w:hint="eastAsia" w:ascii="微软雅黑" w:hAnsi="微软雅黑" w:eastAsia="微软雅黑" w:cs="微软雅黑"/>
                <w:b/>
                <w:bCs/>
                <w:color w:val="FF0000"/>
                <w:kern w:val="2"/>
                <w:sz w:val="21"/>
                <w:szCs w:val="21"/>
                <w:lang w:val="en-US" w:eastAsia="zh-CN" w:bidi="ar-SA"/>
              </w:rPr>
              <w:t>【回程航班】</w:t>
            </w:r>
            <w:r>
              <w:rPr>
                <w:rFonts w:hint="eastAsia" w:ascii="微软雅黑" w:hAnsi="微软雅黑" w:eastAsia="微软雅黑" w:cs="微软雅黑"/>
                <w:kern w:val="2"/>
                <w:sz w:val="21"/>
                <w:szCs w:val="21"/>
                <w:lang w:val="en-US" w:eastAsia="zh-CN" w:bidi="ar-SA"/>
              </w:rPr>
              <w:t>返回出发地，结束愉快之旅！</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80FFF2D">
            <w:pPr>
              <w:keepNext w:val="0"/>
              <w:keepLines w:val="0"/>
              <w:pageBreakBefore w:val="0"/>
              <w:wordWrap/>
              <w:overflowPunct/>
              <w:topLinePunct w:val="0"/>
              <w:bidi w:val="0"/>
              <w:spacing w:line="360" w:lineRule="exact"/>
              <w:jc w:val="both"/>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门票：行程中所含的景点首道大门票（自费或标注自理除外），游船行程中已赠送三个固定上岸参观景点，该景点均为长江三峡中最为著名的代表景区，如果游客自行放弃游览，游轮公司将不负责退还门票及更换景点。</w:t>
            </w:r>
          </w:p>
          <w:p w14:paraId="2565BD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2、酒店：宜昌2晚、商务酒店双标间客房，游船入住三晚指定舱位双标间客房。    </w:t>
            </w:r>
          </w:p>
          <w:p w14:paraId="5ED5462A">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3、餐费：5早4正，船上为自助或桌席</w:t>
            </w:r>
          </w:p>
          <w:p w14:paraId="31B448A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4、交通：陆地段全程旅游资质大巴车，每人一正座；</w:t>
            </w:r>
          </w:p>
          <w:p w14:paraId="32F26D7B">
            <w:pPr>
              <w:keepNext w:val="0"/>
              <w:keepLines w:val="0"/>
              <w:pageBreakBefore w:val="0"/>
              <w:wordWrap/>
              <w:overflowPunct/>
              <w:topLinePunct w:val="0"/>
              <w:bidi w:val="0"/>
              <w:spacing w:line="360" w:lineRule="exact"/>
              <w:jc w:val="both"/>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6、导服：当地持证导游服务（接送或无导游服务）；</w:t>
            </w:r>
          </w:p>
          <w:p w14:paraId="18C093D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7、保险：旅行社责任险，建议游客自行购买个人旅游意外险。（最低10元/人，保额10万元）</w:t>
            </w:r>
          </w:p>
          <w:p w14:paraId="4750775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8、购物：全程0购物（景区商店或方便游客而停留的当地超市等，不列入购物店范畴）</w:t>
            </w:r>
          </w:p>
          <w:p w14:paraId="5AB8BAEC">
            <w:pPr>
              <w:pStyle w:val="23"/>
              <w:keepNext w:val="0"/>
              <w:keepLines w:val="0"/>
              <w:pageBreakBefore w:val="0"/>
              <w:widowControl/>
              <w:kinsoku w:val="0"/>
              <w:wordWrap/>
              <w:overflowPunct/>
              <w:topLinePunct w:val="0"/>
              <w:autoSpaceDE w:val="0"/>
              <w:autoSpaceDN w:val="0"/>
              <w:bidi w:val="0"/>
              <w:adjustRightInd w:val="0"/>
              <w:snapToGrid w:val="0"/>
              <w:spacing w:line="360" w:lineRule="exact"/>
              <w:ind w:right="131"/>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2"/>
                <w:sz w:val="21"/>
                <w:szCs w:val="21"/>
                <w:lang w:val="en-US" w:eastAsia="zh-CN" w:bidi="ar-SA"/>
              </w:rPr>
              <w:t>9、其他：我社包含景点不实行老年证、军官证等优惠证件的退费；放弃景点游览的，不予退还门票费用。</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rPr>
              <w:t>2</w:t>
            </w:r>
            <w:r>
              <w:rPr>
                <w:rFonts w:hint="eastAsia" w:ascii="微软雅黑" w:hAnsi="微软雅黑" w:eastAsia="微软雅黑" w:cs="微软雅黑"/>
                <w:highlight w:val="none"/>
              </w:rPr>
              <w:t>、儿童价格包含：当地接待车位费、全程半餐费、导游服务费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highlight w:val="none"/>
              </w:rPr>
              <w:t>3、儿童价格不含：住宿、门票；若产生费用现付当地导游；儿童不含成人报价中的赠送门票项目</w:t>
            </w:r>
          </w:p>
        </w:tc>
      </w:tr>
      <w:tr w14:paraId="7D9599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4DDDD5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FCA55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sz w:val="21"/>
                <w:szCs w:val="21"/>
              </w:rPr>
              <w:t>1</w:t>
            </w:r>
            <w:r>
              <w:rPr>
                <w:rFonts w:hint="eastAsia" w:ascii="微软雅黑" w:hAnsi="微软雅黑" w:eastAsia="微软雅黑" w:cs="微软雅黑"/>
                <w:highlight w:val="none"/>
              </w:rPr>
              <w:t>、单房差：船上标准房可拼房，若不愿意拼房另补房差</w:t>
            </w:r>
          </w:p>
          <w:p w14:paraId="524B989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2、自愿自费景点:</w:t>
            </w:r>
          </w:p>
          <w:p w14:paraId="6C5691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bCs/>
                <w:color w:val="FF0000"/>
                <w:sz w:val="21"/>
                <w:szCs w:val="21"/>
                <w:lang w:val="en-US" w:eastAsia="zh-CN"/>
              </w:rPr>
              <w:t>三峡垂直升船机：</w:t>
            </w:r>
            <w:r>
              <w:rPr>
                <w:rFonts w:hint="eastAsia" w:ascii="微软雅黑" w:hAnsi="微软雅黑" w:eastAsia="微软雅黑" w:cs="微软雅黑"/>
                <w:b w:val="0"/>
                <w:bCs w:val="0"/>
                <w:color w:val="FF0000"/>
                <w:sz w:val="21"/>
                <w:szCs w:val="21"/>
                <w:lang w:val="en-US" w:eastAsia="zh-CN"/>
              </w:rPr>
              <w:t>成人（12岁以上儿童）：290元/人  12周岁及以上儿童:290 元/人；满2-11 周岁儿童:180元/人</w:t>
            </w:r>
          </w:p>
          <w:p w14:paraId="47D09E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FF0000"/>
                <w:sz w:val="21"/>
                <w:szCs w:val="21"/>
                <w:lang w:val="en-US" w:eastAsia="zh-CN"/>
              </w:rPr>
              <w:t>2 周岁(不含2周岁)以下婴儿:60 元/人</w:t>
            </w:r>
          </w:p>
          <w:p w14:paraId="054D01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bCs/>
                <w:color w:val="FF0000"/>
                <w:sz w:val="21"/>
                <w:szCs w:val="21"/>
                <w:lang w:val="en-US" w:eastAsia="zh-CN"/>
              </w:rPr>
              <w:t>小三峡：</w:t>
            </w:r>
            <w:r>
              <w:rPr>
                <w:rFonts w:hint="eastAsia" w:ascii="微软雅黑" w:hAnsi="微软雅黑" w:eastAsia="微软雅黑" w:cs="微软雅黑"/>
                <w:b w:val="0"/>
                <w:bCs w:val="0"/>
                <w:color w:val="FF0000"/>
                <w:sz w:val="21"/>
                <w:szCs w:val="21"/>
                <w:lang w:val="en-US" w:eastAsia="zh-CN"/>
              </w:rPr>
              <w:t>成人（含1.4米以上儿童）：290元/人  1.4 米以上儿童:290 元/人；2岁以上-1.4 米以下儿童:150 元/人</w:t>
            </w:r>
            <w:r>
              <w:rPr>
                <w:rFonts w:hint="eastAsia" w:ascii="微软雅黑" w:hAnsi="微软雅黑" w:eastAsia="微软雅黑" w:cs="微软雅黑"/>
                <w:b w:val="0"/>
                <w:bCs w:val="0"/>
                <w:color w:val="FF0000"/>
                <w:sz w:val="21"/>
                <w:szCs w:val="21"/>
                <w:lang w:val="en-US" w:eastAsia="zh-CN"/>
              </w:rPr>
              <w:br w:type="textWrapping"/>
            </w:r>
            <w:r>
              <w:rPr>
                <w:rFonts w:hint="eastAsia" w:ascii="微软雅黑" w:hAnsi="微软雅黑" w:eastAsia="微软雅黑" w:cs="微软雅黑"/>
                <w:b w:val="0"/>
                <w:bCs w:val="0"/>
                <w:color w:val="FF0000"/>
                <w:sz w:val="21"/>
                <w:szCs w:val="21"/>
                <w:lang w:val="en-US" w:eastAsia="zh-CN"/>
              </w:rPr>
              <w:t>2周岁(不含2 周岁)以下婴儿:50 元/人</w:t>
            </w:r>
          </w:p>
          <w:p w14:paraId="0B93DC2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bCs/>
                <w:color w:val="FF0000"/>
                <w:sz w:val="21"/>
                <w:szCs w:val="21"/>
                <w:lang w:val="en-US" w:eastAsia="zh-CN"/>
              </w:rPr>
              <w:t>白帝城 ：</w:t>
            </w:r>
            <w:r>
              <w:rPr>
                <w:rFonts w:hint="eastAsia" w:ascii="微软雅黑" w:hAnsi="微软雅黑" w:eastAsia="微软雅黑" w:cs="微软雅黑"/>
                <w:b w:val="0"/>
                <w:bCs w:val="0"/>
                <w:color w:val="FF0000"/>
                <w:sz w:val="21"/>
                <w:szCs w:val="21"/>
                <w:lang w:val="en-US" w:eastAsia="zh-CN"/>
              </w:rPr>
              <w:t xml:space="preserve"> 成人：252元/人 满 60-64 周岁:222 元/人 满 65 周岁及以上:192元/人  6周岁以上(含6周岁)-18岁学生:222元/人 2岁以上-6周岁以下儿童:150 元/人 军官证、军残证、残疾证:192 元/人 2周岁(不含2 周岁)以下婴儿:免费</w:t>
            </w:r>
          </w:p>
          <w:p w14:paraId="0595DA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highlight w:val="none"/>
                <w:lang w:val="en-US" w:eastAsia="zh-CN"/>
              </w:rPr>
            </w:pPr>
            <w:r>
              <w:rPr>
                <w:rFonts w:hint="default" w:ascii="微软雅黑" w:hAnsi="微软雅黑" w:eastAsia="微软雅黑" w:cs="微软雅黑"/>
                <w:b/>
                <w:bCs/>
                <w:color w:val="FF0000"/>
                <w:sz w:val="21"/>
                <w:szCs w:val="21"/>
                <w:lang w:eastAsia="zh-CN"/>
              </w:rPr>
              <w:t>【长江索道】</w:t>
            </w:r>
            <w:r>
              <w:rPr>
                <w:rFonts w:hint="default" w:ascii="微软雅黑" w:hAnsi="微软雅黑" w:eastAsia="微软雅黑" w:cs="微软雅黑"/>
                <w:b w:val="0"/>
                <w:bCs w:val="0"/>
                <w:color w:val="FF0000"/>
                <w:sz w:val="21"/>
                <w:szCs w:val="21"/>
                <w:lang w:eastAsia="zh-CN"/>
              </w:rPr>
              <w:t>（</w:t>
            </w:r>
            <w:r>
              <w:rPr>
                <w:rFonts w:hint="eastAsia" w:ascii="微软雅黑" w:hAnsi="微软雅黑" w:eastAsia="微软雅黑" w:cs="微软雅黑"/>
                <w:b w:val="0"/>
                <w:bCs w:val="0"/>
                <w:color w:val="FF0000"/>
                <w:sz w:val="21"/>
                <w:szCs w:val="21"/>
                <w:lang w:eastAsia="zh-CN"/>
              </w:rPr>
              <w:t>单程</w:t>
            </w:r>
            <w:r>
              <w:rPr>
                <w:rFonts w:hint="default" w:ascii="微软雅黑" w:hAnsi="微软雅黑" w:eastAsia="微软雅黑" w:cs="微软雅黑"/>
                <w:b w:val="0"/>
                <w:bCs w:val="0"/>
                <w:color w:val="FF0000"/>
                <w:sz w:val="21"/>
                <w:szCs w:val="21"/>
                <w:lang w:eastAsia="zh-CN"/>
              </w:rPr>
              <w:t>自费40元/人</w:t>
            </w:r>
            <w:r>
              <w:rPr>
                <w:rFonts w:hint="eastAsia" w:ascii="微软雅黑" w:hAnsi="微软雅黑" w:eastAsia="微软雅黑" w:cs="微软雅黑"/>
                <w:b w:val="0"/>
                <w:bCs w:val="0"/>
                <w:color w:val="FF0000"/>
                <w:sz w:val="21"/>
                <w:szCs w:val="21"/>
                <w:lang w:eastAsia="zh-CN"/>
              </w:rPr>
              <w:t>，往返自费</w:t>
            </w:r>
            <w:r>
              <w:rPr>
                <w:rFonts w:hint="eastAsia" w:ascii="微软雅黑" w:hAnsi="微软雅黑" w:eastAsia="微软雅黑" w:cs="微软雅黑"/>
                <w:b w:val="0"/>
                <w:bCs w:val="0"/>
                <w:color w:val="FF0000"/>
                <w:sz w:val="21"/>
                <w:szCs w:val="21"/>
                <w:lang w:val="en-US" w:eastAsia="zh-CN"/>
              </w:rPr>
              <w:t>60元/人</w:t>
            </w:r>
            <w:r>
              <w:rPr>
                <w:rFonts w:hint="default" w:ascii="微软雅黑" w:hAnsi="微软雅黑" w:eastAsia="微软雅黑" w:cs="微软雅黑"/>
                <w:b w:val="0"/>
                <w:bCs w:val="0"/>
                <w:color w:val="FF0000"/>
                <w:sz w:val="21"/>
                <w:szCs w:val="21"/>
                <w:lang w:eastAsia="zh-CN"/>
              </w:rPr>
              <w:t>）</w:t>
            </w:r>
            <w:r>
              <w:rPr>
                <w:rFonts w:hint="eastAsia" w:ascii="微软雅黑" w:hAnsi="微软雅黑" w:eastAsia="微软雅黑" w:cs="微软雅黑"/>
                <w:b/>
                <w:bCs/>
                <w:color w:val="FF0000"/>
                <w:sz w:val="21"/>
                <w:szCs w:val="21"/>
                <w:lang w:eastAsia="zh-CN"/>
              </w:rPr>
              <w:t>；</w:t>
            </w:r>
            <w:r>
              <w:rPr>
                <w:rFonts w:hint="default" w:ascii="微软雅黑" w:hAnsi="微软雅黑" w:eastAsia="微软雅黑" w:cs="微软雅黑"/>
                <w:b/>
                <w:bCs/>
                <w:color w:val="FF0000"/>
                <w:sz w:val="21"/>
                <w:szCs w:val="21"/>
                <w:lang w:eastAsia="zh-CN"/>
              </w:rPr>
              <w:t>“黎明之前”</w:t>
            </w:r>
            <w:r>
              <w:rPr>
                <w:rFonts w:hint="default" w:ascii="微软雅黑" w:hAnsi="微软雅黑" w:eastAsia="微软雅黑" w:cs="微软雅黑"/>
                <w:b w:val="0"/>
                <w:bCs w:val="0"/>
                <w:color w:val="FF0000"/>
                <w:sz w:val="21"/>
                <w:szCs w:val="21"/>
                <w:lang w:eastAsia="zh-CN"/>
              </w:rPr>
              <w:t>演出（</w:t>
            </w:r>
            <w:r>
              <w:rPr>
                <w:rFonts w:hint="default" w:ascii="微软雅黑" w:hAnsi="微软雅黑" w:eastAsia="微软雅黑" w:cs="微软雅黑"/>
                <w:b w:val="0"/>
                <w:bCs w:val="0"/>
                <w:color w:val="FF0000"/>
                <w:sz w:val="21"/>
                <w:szCs w:val="21"/>
                <w:lang w:val="en-US" w:eastAsia="zh-CN"/>
              </w:rPr>
              <w:t>79</w:t>
            </w:r>
            <w:r>
              <w:rPr>
                <w:rFonts w:hint="default" w:ascii="微软雅黑" w:hAnsi="微软雅黑" w:eastAsia="微软雅黑" w:cs="微软雅黑"/>
                <w:b w:val="0"/>
                <w:bCs w:val="0"/>
                <w:color w:val="FF0000"/>
                <w:sz w:val="21"/>
                <w:szCs w:val="21"/>
                <w:lang w:eastAsia="zh-CN"/>
              </w:rPr>
              <w:t>元/人）</w:t>
            </w:r>
            <w:r>
              <w:rPr>
                <w:rFonts w:hint="eastAsia" w:ascii="微软雅黑" w:hAnsi="微软雅黑" w:eastAsia="微软雅黑" w:cs="微软雅黑"/>
                <w:b/>
                <w:bCs/>
                <w:color w:val="FF0000"/>
                <w:sz w:val="21"/>
                <w:szCs w:val="21"/>
                <w:lang w:eastAsia="zh-CN"/>
              </w:rPr>
              <w:t>；</w:t>
            </w:r>
            <w:r>
              <w:rPr>
                <w:rFonts w:hint="default" w:ascii="微软雅黑" w:hAnsi="微软雅黑" w:eastAsia="微软雅黑" w:cs="微软雅黑"/>
                <w:b/>
                <w:bCs/>
                <w:color w:val="FF0000"/>
                <w:sz w:val="21"/>
                <w:szCs w:val="21"/>
                <w:lang w:eastAsia="zh-CN"/>
              </w:rPr>
              <w:t>【WFC观景台】</w:t>
            </w:r>
            <w:r>
              <w:rPr>
                <w:rFonts w:hint="default" w:ascii="微软雅黑" w:hAnsi="微软雅黑" w:eastAsia="微软雅黑" w:cs="微软雅黑"/>
                <w:b w:val="0"/>
                <w:bCs w:val="0"/>
                <w:color w:val="FF0000"/>
                <w:sz w:val="21"/>
                <w:szCs w:val="21"/>
                <w:lang w:eastAsia="zh-CN"/>
              </w:rPr>
              <w:t>(自费1</w:t>
            </w:r>
            <w:r>
              <w:rPr>
                <w:rFonts w:hint="eastAsia" w:ascii="微软雅黑" w:hAnsi="微软雅黑" w:eastAsia="微软雅黑" w:cs="微软雅黑"/>
                <w:b w:val="0"/>
                <w:bCs w:val="0"/>
                <w:color w:val="FF0000"/>
                <w:sz w:val="21"/>
                <w:szCs w:val="21"/>
                <w:lang w:val="en-US" w:eastAsia="zh-CN"/>
              </w:rPr>
              <w:t>2</w:t>
            </w:r>
            <w:r>
              <w:rPr>
                <w:rFonts w:hint="default" w:ascii="微软雅黑" w:hAnsi="微软雅黑" w:eastAsia="微软雅黑" w:cs="微软雅黑"/>
                <w:b w:val="0"/>
                <w:bCs w:val="0"/>
                <w:color w:val="FF0000"/>
                <w:sz w:val="21"/>
                <w:szCs w:val="21"/>
                <w:lang w:eastAsia="zh-CN"/>
              </w:rPr>
              <w:t>8元/人)</w:t>
            </w:r>
          </w:p>
          <w:p w14:paraId="73D2C87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highlight w:val="none"/>
                <w:lang w:val="en-US" w:eastAsia="zh-CN"/>
              </w:rPr>
            </w:pPr>
            <w:r>
              <w:rPr>
                <w:rFonts w:hint="eastAsia" w:ascii="微软雅黑" w:hAnsi="微软雅黑" w:eastAsia="微软雅黑" w:cs="微软雅黑"/>
                <w:b/>
                <w:bCs/>
                <w:color w:val="FF0000"/>
                <w:sz w:val="21"/>
                <w:szCs w:val="21"/>
                <w:lang w:val="en-US" w:eastAsia="zh-CN"/>
              </w:rPr>
              <w:t>三峡大坝讲解器20元/人、景区电瓶车10元/人、丰都鬼城索道35元/人。</w:t>
            </w:r>
          </w:p>
          <w:p w14:paraId="408EC84E">
            <w:pPr>
              <w:jc w:val="both"/>
              <w:rPr>
                <w:rFonts w:hint="eastAsia" w:ascii="微软雅黑" w:hAnsi="微软雅黑" w:eastAsia="微软雅黑" w:cs="微软雅黑"/>
                <w:sz w:val="18"/>
                <w:szCs w:val="18"/>
                <w:lang w:val="en-US" w:eastAsia="zh-CN"/>
              </w:rPr>
            </w:pPr>
            <w:r>
              <w:rPr>
                <w:rFonts w:hint="eastAsia" w:ascii="微软雅黑" w:hAnsi="微软雅黑" w:eastAsia="微软雅黑" w:cs="微软雅黑"/>
                <w:highlight w:val="none"/>
                <w:lang w:val="en-US" w:eastAsia="zh-CN"/>
              </w:rPr>
              <w:t>4、船上公共区域个人消费。</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☆☆费用说明☆☆</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164546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4265180">
            <w:pPr>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黑体" w:hAnsi="黑体" w:eastAsia="黑体" w:cs="黑体"/>
                <w:lang w:val="en-US"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特别</w:t>
            </w:r>
            <w:r>
              <w:rPr>
                <w:rFonts w:hint="eastAsia" w:ascii="微软雅黑" w:hAnsi="微软雅黑" w:eastAsia="微软雅黑" w:cs="微软雅黑"/>
                <w:b/>
                <w:bCs/>
                <w:sz w:val="21"/>
                <w:szCs w:val="21"/>
                <w:highlight w:val="yellow"/>
                <w:lang w:val="en-US" w:eastAsia="zh-CN"/>
              </w:rPr>
              <w:t>说明和乘船须知☆☆</w:t>
            </w:r>
          </w:p>
          <w:p w14:paraId="196C968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黑体" w:hAnsi="黑体" w:eastAsia="黑体" w:cs="黑体"/>
                <w:lang w:val="en-US" w:eastAsia="zh-CN"/>
              </w:rPr>
              <w:t>1、</w:t>
            </w:r>
            <w:r>
              <w:rPr>
                <w:rFonts w:hint="eastAsia" w:ascii="微软雅黑" w:hAnsi="微软雅黑" w:eastAsia="微软雅黑" w:cs="微软雅黑"/>
                <w:b w:val="0"/>
                <w:bCs w:val="0"/>
                <w:sz w:val="21"/>
                <w:szCs w:val="21"/>
              </w:rPr>
              <w:t>由于天气、水位、航道管制、港口通航等不可抗力因素影响，</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登离船港口可能会有调整，如出现这种情况，船公司将负责重庆市区至港口间的运转交通。</w:t>
            </w:r>
          </w:p>
          <w:p w14:paraId="66F83EA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2、</w:t>
            </w:r>
            <w:r>
              <w:rPr>
                <w:rFonts w:hint="eastAsia" w:ascii="微软雅黑" w:hAnsi="微软雅黑" w:eastAsia="微软雅黑" w:cs="微软雅黑"/>
                <w:b w:val="0"/>
                <w:bCs w:val="0"/>
                <w:sz w:val="21"/>
                <w:szCs w:val="21"/>
              </w:rPr>
              <w:t>行程中已赠送上岸参观景点，该景点均为长江三峡中最为著名的代表景区，如果游客自行放弃游览，游轮公司将不负责退还门票及更换景点</w:t>
            </w:r>
            <w:r>
              <w:rPr>
                <w:rFonts w:hint="eastAsia" w:ascii="微软雅黑" w:hAnsi="微软雅黑" w:eastAsia="微软雅黑" w:cs="微软雅黑"/>
                <w:b w:val="0"/>
                <w:bCs w:val="0"/>
                <w:sz w:val="21"/>
                <w:szCs w:val="21"/>
                <w:lang w:eastAsia="zh-CN"/>
              </w:rPr>
              <w:t>。</w:t>
            </w:r>
          </w:p>
          <w:p w14:paraId="3F6748E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w:t>
            </w:r>
            <w:r>
              <w:rPr>
                <w:rFonts w:hint="eastAsia" w:ascii="微软雅黑" w:hAnsi="微软雅黑" w:eastAsia="微软雅黑" w:cs="微软雅黑"/>
                <w:b w:val="0"/>
                <w:bCs w:val="0"/>
                <w:sz w:val="21"/>
                <w:szCs w:val="21"/>
              </w:rPr>
              <w:t>本行程仅供参考，具体以</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说明会为准。</w:t>
            </w:r>
            <w:r>
              <w:rPr>
                <w:rFonts w:hint="eastAsia" w:ascii="微软雅黑" w:hAnsi="微软雅黑" w:eastAsia="微软雅黑" w:cs="微软雅黑"/>
                <w:b w:val="0"/>
                <w:bCs w:val="0"/>
                <w:sz w:val="21"/>
                <w:szCs w:val="21"/>
                <w:lang w:val="en-US" w:eastAsia="zh-CN"/>
              </w:rPr>
              <w:t>重庆市内一日游均为赠送，不参加不退任何费用。</w:t>
            </w:r>
          </w:p>
          <w:p w14:paraId="0384E5A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b w:val="0"/>
                <w:bCs w:val="0"/>
                <w:sz w:val="21"/>
                <w:szCs w:val="21"/>
              </w:rPr>
              <w:t>、根据季节、水位、天气、航道、政府禁令等情况，上述行程表中的抵达时间或景点可能会有相应调整，以</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每日发布的行程为准。</w:t>
            </w:r>
          </w:p>
          <w:p w14:paraId="3B08711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sz w:val="21"/>
                <w:szCs w:val="21"/>
              </w:rPr>
              <w:t>、如遇重庆码头中转，我司将统一安排乘船客人乘车中转，如遇此情况请配合</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中转安排。</w:t>
            </w:r>
          </w:p>
          <w:p w14:paraId="49B77D2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乘船须知：</w:t>
            </w:r>
          </w:p>
          <w:p w14:paraId="662AD05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lang w:eastAsia="zh-CN"/>
              </w:rPr>
              <w:t>行程所列阳台标准房为</w:t>
            </w:r>
            <w:r>
              <w:rPr>
                <w:rFonts w:hint="eastAsia" w:ascii="微软雅黑" w:hAnsi="微软雅黑" w:eastAsia="微软雅黑" w:cs="微软雅黑"/>
                <w:b w:val="0"/>
                <w:bCs w:val="0"/>
                <w:sz w:val="21"/>
                <w:szCs w:val="21"/>
                <w:lang w:val="en-US" w:eastAsia="zh-CN"/>
              </w:rPr>
              <w:t>2楼</w:t>
            </w:r>
            <w:r>
              <w:rPr>
                <w:rFonts w:hint="eastAsia" w:ascii="微软雅黑" w:hAnsi="微软雅黑" w:eastAsia="微软雅黑" w:cs="微软雅黑"/>
                <w:b w:val="0"/>
                <w:bCs w:val="0"/>
                <w:sz w:val="21"/>
                <w:szCs w:val="21"/>
              </w:rPr>
              <w:t>基础楼层，</w:t>
            </w:r>
            <w:r>
              <w:rPr>
                <w:rFonts w:hint="eastAsia" w:ascii="微软雅黑" w:hAnsi="微软雅黑" w:eastAsia="微软雅黑" w:cs="微软雅黑"/>
                <w:b w:val="0"/>
                <w:bCs w:val="0"/>
                <w:sz w:val="21"/>
                <w:szCs w:val="21"/>
                <w:lang w:eastAsia="zh-CN"/>
              </w:rPr>
              <w:t>客区甲板层</w:t>
            </w:r>
            <w:r>
              <w:rPr>
                <w:rFonts w:hint="eastAsia" w:ascii="微软雅黑" w:hAnsi="微软雅黑" w:eastAsia="微软雅黑" w:cs="微软雅黑"/>
                <w:b w:val="0"/>
                <w:bCs w:val="0"/>
                <w:sz w:val="21"/>
                <w:szCs w:val="21"/>
                <w:lang w:val="en-US" w:eastAsia="zh-CN"/>
              </w:rPr>
              <w:t>6层。</w:t>
            </w:r>
          </w:p>
          <w:p w14:paraId="32EE830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2、游轮楼层及房间号随机抽取，</w:t>
            </w:r>
            <w:r>
              <w:rPr>
                <w:rFonts w:hint="eastAsia" w:ascii="微软雅黑" w:hAnsi="微软雅黑" w:eastAsia="微软雅黑" w:cs="微软雅黑"/>
                <w:b w:val="0"/>
                <w:bCs w:val="0"/>
                <w:sz w:val="21"/>
                <w:szCs w:val="21"/>
                <w:lang w:eastAsia="zh-CN"/>
              </w:rPr>
              <w:t>如需指定楼层按</w:t>
            </w:r>
            <w:r>
              <w:rPr>
                <w:rFonts w:hint="eastAsia" w:ascii="微软雅黑" w:hAnsi="微软雅黑" w:eastAsia="微软雅黑" w:cs="微软雅黑"/>
                <w:b w:val="0"/>
                <w:bCs w:val="0"/>
                <w:sz w:val="21"/>
                <w:szCs w:val="21"/>
              </w:rPr>
              <w:t>1</w:t>
            </w: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sz w:val="21"/>
                <w:szCs w:val="21"/>
              </w:rPr>
              <w:t>0元/人/层</w:t>
            </w:r>
            <w:r>
              <w:rPr>
                <w:rFonts w:hint="eastAsia" w:ascii="微软雅黑" w:hAnsi="微软雅黑" w:eastAsia="微软雅黑" w:cs="微软雅黑"/>
                <w:b w:val="0"/>
                <w:bCs w:val="0"/>
                <w:sz w:val="21"/>
                <w:szCs w:val="21"/>
                <w:lang w:eastAsia="zh-CN"/>
              </w:rPr>
              <w:t>收取</w:t>
            </w:r>
            <w:r>
              <w:rPr>
                <w:rFonts w:hint="eastAsia" w:ascii="微软雅黑" w:hAnsi="微软雅黑" w:eastAsia="微软雅黑" w:cs="微软雅黑"/>
                <w:b w:val="0"/>
                <w:bCs w:val="0"/>
                <w:sz w:val="21"/>
                <w:szCs w:val="21"/>
              </w:rPr>
              <w:t>（请提前缴费预订办理），外宾价格现询</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要求左旋或者右旋房间</w:t>
            </w:r>
            <w:r>
              <w:rPr>
                <w:rFonts w:hint="eastAsia" w:ascii="微软雅黑" w:hAnsi="微软雅黑" w:eastAsia="微软雅黑" w:cs="微软雅黑"/>
                <w:b w:val="0"/>
                <w:bCs w:val="0"/>
                <w:sz w:val="21"/>
                <w:szCs w:val="21"/>
                <w:lang w:val="en-US" w:eastAsia="zh-CN"/>
              </w:rPr>
              <w:t>的需加收指定费用</w:t>
            </w:r>
            <w:r>
              <w:rPr>
                <w:rFonts w:hint="eastAsia" w:ascii="微软雅黑" w:hAnsi="微软雅黑" w:eastAsia="微软雅黑" w:cs="微软雅黑"/>
                <w:b w:val="0"/>
                <w:bCs w:val="0"/>
                <w:sz w:val="21"/>
                <w:szCs w:val="21"/>
              </w:rPr>
              <w:t>200元/间</w:t>
            </w:r>
            <w:r>
              <w:rPr>
                <w:rFonts w:hint="eastAsia" w:ascii="微软雅黑" w:hAnsi="微软雅黑" w:eastAsia="微软雅黑" w:cs="微软雅黑"/>
                <w:b w:val="0"/>
                <w:bCs w:val="0"/>
                <w:sz w:val="21"/>
                <w:szCs w:val="21"/>
                <w:lang w:eastAsia="zh-CN"/>
              </w:rPr>
              <w:t>；</w:t>
            </w:r>
          </w:p>
          <w:p w14:paraId="523C7FC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3</w:t>
            </w:r>
            <w:r>
              <w:rPr>
                <w:rFonts w:hint="eastAsia" w:ascii="微软雅黑" w:hAnsi="微软雅黑" w:eastAsia="微软雅黑" w:cs="微软雅黑"/>
                <w:b w:val="0"/>
                <w:bCs w:val="0"/>
                <w:sz w:val="21"/>
                <w:szCs w:val="21"/>
              </w:rPr>
              <w:t>、持带证件：客人需持身份证或户口簿原件方能登船</w:t>
            </w:r>
            <w:r>
              <w:rPr>
                <w:rFonts w:hint="eastAsia" w:ascii="微软雅黑" w:hAnsi="微软雅黑" w:eastAsia="微软雅黑" w:cs="微软雅黑"/>
                <w:b w:val="0"/>
                <w:bCs w:val="0"/>
                <w:sz w:val="21"/>
                <w:szCs w:val="21"/>
                <w:lang w:eastAsia="zh-CN"/>
              </w:rPr>
              <w:t>。</w:t>
            </w:r>
          </w:p>
          <w:p w14:paraId="4B7A25E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b w:val="0"/>
                <w:bCs w:val="0"/>
                <w:sz w:val="21"/>
                <w:szCs w:val="21"/>
              </w:rPr>
              <w:t>、外宾价格：非中国大陆籍游客价格需电话现询</w:t>
            </w:r>
            <w:r>
              <w:rPr>
                <w:rFonts w:hint="eastAsia" w:ascii="微软雅黑" w:hAnsi="微软雅黑" w:eastAsia="微软雅黑" w:cs="微软雅黑"/>
                <w:b w:val="0"/>
                <w:bCs w:val="0"/>
                <w:sz w:val="21"/>
                <w:szCs w:val="21"/>
                <w:lang w:eastAsia="zh-CN"/>
              </w:rPr>
              <w:t>。</w:t>
            </w:r>
          </w:p>
          <w:p w14:paraId="2A4284E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sz w:val="21"/>
                <w:szCs w:val="21"/>
              </w:rPr>
              <w:t>、自费项目遵循自愿原则，绝不强迫消费，最低30人成团，如构不成最低成团人数，则取消线路</w:t>
            </w:r>
          </w:p>
          <w:p w14:paraId="2314E45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bCs/>
                <w:sz w:val="21"/>
                <w:szCs w:val="21"/>
              </w:rPr>
              <w:t>船位预订</w:t>
            </w:r>
            <w:r>
              <w:rPr>
                <w:rFonts w:hint="eastAsia" w:ascii="微软雅黑" w:hAnsi="微软雅黑" w:eastAsia="微软雅黑" w:cs="微软雅黑"/>
                <w:b w:val="0"/>
                <w:bCs w:val="0"/>
                <w:sz w:val="21"/>
                <w:szCs w:val="21"/>
              </w:rPr>
              <w:t>： </w:t>
            </w:r>
          </w:p>
          <w:p w14:paraId="28356D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rPr>
              <w:t>、行程说明：行程中所标注时间为船舶正常航行情况下的时间，如遇天气、水位、航道管制、船闸检修、船闸政治性关闭、码头停靠条件等特殊情况，船方会根据实际情况调整登离船港口和航行时间，以游轮每日发布的行程为准。如因以上因素影响和人力不可抗拒的原因造成此次航程延误或不能成行，我公司有权对行程和开航时间延迟和进行调整，我公司不承担任何违约责任。</w:t>
            </w:r>
          </w:p>
          <w:p w14:paraId="562FDE4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bookmarkStart w:id="0" w:name="OLE_LINK2"/>
            <w:r>
              <w:rPr>
                <w:rFonts w:hint="eastAsia" w:ascii="微软雅黑" w:hAnsi="微软雅黑" w:eastAsia="微软雅黑" w:cs="微软雅黑"/>
                <w:b w:val="0"/>
                <w:bCs w:val="0"/>
                <w:sz w:val="21"/>
                <w:szCs w:val="21"/>
                <w:lang w:val="en-US" w:eastAsia="zh-CN"/>
              </w:rPr>
              <w:t>2</w:t>
            </w:r>
            <w:r>
              <w:rPr>
                <w:rFonts w:hint="eastAsia" w:ascii="微软雅黑" w:hAnsi="微软雅黑" w:eastAsia="微软雅黑" w:cs="微软雅黑"/>
                <w:b w:val="0"/>
                <w:bCs w:val="0"/>
                <w:sz w:val="21"/>
                <w:szCs w:val="21"/>
              </w:rPr>
              <w:t>、</w:t>
            </w:r>
            <w:r>
              <w:rPr>
                <w:rFonts w:hint="eastAsia" w:ascii="微软雅黑" w:hAnsi="微软雅黑" w:eastAsia="微软雅黑" w:cs="微软雅黑"/>
                <w:b w:val="0"/>
                <w:bCs w:val="0"/>
                <w:sz w:val="21"/>
                <w:szCs w:val="21"/>
                <w:lang w:val="en-US" w:eastAsia="zh-CN"/>
              </w:rPr>
              <w:t>退改签</w:t>
            </w:r>
            <w:r>
              <w:rPr>
                <w:rFonts w:hint="eastAsia" w:ascii="微软雅黑" w:hAnsi="微软雅黑" w:eastAsia="微软雅黑" w:cs="微软雅黑"/>
                <w:b w:val="0"/>
                <w:bCs w:val="0"/>
                <w:sz w:val="21"/>
                <w:szCs w:val="21"/>
              </w:rPr>
              <w:t>规定：</w:t>
            </w:r>
          </w:p>
          <w:p w14:paraId="34094E3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（1）开航21天前退位，</w:t>
            </w:r>
            <w:r>
              <w:rPr>
                <w:rFonts w:hint="eastAsia" w:ascii="微软雅黑" w:hAnsi="微软雅黑" w:eastAsia="微软雅黑" w:cs="微软雅黑"/>
                <w:b w:val="0"/>
                <w:bCs w:val="0"/>
                <w:sz w:val="21"/>
                <w:szCs w:val="21"/>
                <w:lang w:val="en-US" w:eastAsia="zh-CN"/>
              </w:rPr>
              <w:t>需</w:t>
            </w:r>
            <w:r>
              <w:rPr>
                <w:rFonts w:hint="eastAsia" w:ascii="微软雅黑" w:hAnsi="微软雅黑" w:eastAsia="微软雅黑" w:cs="微软雅黑"/>
                <w:b w:val="0"/>
                <w:bCs w:val="0"/>
                <w:sz w:val="21"/>
                <w:szCs w:val="21"/>
              </w:rPr>
              <w:t>申请经</w:t>
            </w:r>
            <w:r>
              <w:rPr>
                <w:rFonts w:hint="eastAsia" w:ascii="微软雅黑" w:hAnsi="微软雅黑" w:eastAsia="微软雅黑" w:cs="微软雅黑"/>
                <w:b w:val="0"/>
                <w:bCs w:val="0"/>
                <w:sz w:val="21"/>
                <w:szCs w:val="21"/>
                <w:lang w:val="en-US" w:eastAsia="zh-CN"/>
              </w:rPr>
              <w:t>船方</w:t>
            </w:r>
            <w:r>
              <w:rPr>
                <w:rFonts w:hint="eastAsia" w:ascii="微软雅黑" w:hAnsi="微软雅黑" w:eastAsia="微软雅黑" w:cs="微软雅黑"/>
                <w:b w:val="0"/>
                <w:bCs w:val="0"/>
                <w:sz w:val="21"/>
                <w:szCs w:val="21"/>
              </w:rPr>
              <w:t>确认后，</w:t>
            </w:r>
            <w:r>
              <w:rPr>
                <w:rFonts w:hint="eastAsia" w:ascii="微软雅黑" w:hAnsi="微软雅黑" w:eastAsia="微软雅黑" w:cs="微软雅黑"/>
                <w:b w:val="0"/>
                <w:bCs w:val="0"/>
                <w:sz w:val="21"/>
                <w:szCs w:val="21"/>
                <w:lang w:val="en-US" w:eastAsia="zh-CN"/>
              </w:rPr>
              <w:t>船方将不收取</w:t>
            </w:r>
            <w:r>
              <w:rPr>
                <w:rFonts w:hint="eastAsia" w:ascii="微软雅黑" w:hAnsi="微软雅黑" w:eastAsia="微软雅黑" w:cs="微软雅黑"/>
                <w:b w:val="0"/>
                <w:bCs w:val="0"/>
                <w:sz w:val="21"/>
                <w:szCs w:val="21"/>
              </w:rPr>
              <w:t>退位船票费用。</w:t>
            </w:r>
          </w:p>
          <w:p w14:paraId="536D7F7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（2）开航前14-21（含第21天）天内退位，</w:t>
            </w:r>
            <w:r>
              <w:rPr>
                <w:rFonts w:hint="eastAsia" w:ascii="微软雅黑" w:hAnsi="微软雅黑" w:eastAsia="微软雅黑" w:cs="微软雅黑"/>
                <w:b w:val="0"/>
                <w:bCs w:val="0"/>
                <w:sz w:val="21"/>
                <w:szCs w:val="21"/>
                <w:lang w:val="en-US" w:eastAsia="zh-CN"/>
              </w:rPr>
              <w:t>需</w:t>
            </w:r>
            <w:r>
              <w:rPr>
                <w:rFonts w:hint="eastAsia" w:ascii="微软雅黑" w:hAnsi="微软雅黑" w:eastAsia="微软雅黑" w:cs="微软雅黑"/>
                <w:b w:val="0"/>
                <w:bCs w:val="0"/>
                <w:sz w:val="21"/>
                <w:szCs w:val="21"/>
              </w:rPr>
              <w:t>收取所退床位30%的船票损失费用。</w:t>
            </w:r>
          </w:p>
          <w:p w14:paraId="1EB7602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（3）开航前7-14（含第14天）天内退位，</w:t>
            </w:r>
            <w:r>
              <w:rPr>
                <w:rFonts w:hint="eastAsia" w:ascii="微软雅黑" w:hAnsi="微软雅黑" w:eastAsia="微软雅黑" w:cs="微软雅黑"/>
                <w:b w:val="0"/>
                <w:bCs w:val="0"/>
                <w:sz w:val="21"/>
                <w:szCs w:val="21"/>
                <w:lang w:val="en-US" w:eastAsia="zh-CN"/>
              </w:rPr>
              <w:t>需</w:t>
            </w:r>
            <w:r>
              <w:rPr>
                <w:rFonts w:hint="eastAsia" w:ascii="微软雅黑" w:hAnsi="微软雅黑" w:eastAsia="微软雅黑" w:cs="微软雅黑"/>
                <w:b w:val="0"/>
                <w:bCs w:val="0"/>
                <w:sz w:val="21"/>
                <w:szCs w:val="21"/>
              </w:rPr>
              <w:t>收取所退床位50%的船票损失费用。</w:t>
            </w:r>
          </w:p>
          <w:p w14:paraId="0899062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（4）开航前7天（含第七天）禁止退位，若退位，</w:t>
            </w:r>
            <w:r>
              <w:rPr>
                <w:rFonts w:hint="eastAsia" w:ascii="微软雅黑" w:hAnsi="微软雅黑" w:eastAsia="微软雅黑" w:cs="微软雅黑"/>
                <w:b w:val="0"/>
                <w:bCs w:val="0"/>
                <w:sz w:val="21"/>
                <w:szCs w:val="21"/>
                <w:lang w:val="en-US" w:eastAsia="zh-CN"/>
              </w:rPr>
              <w:t>船方</w:t>
            </w:r>
            <w:r>
              <w:rPr>
                <w:rFonts w:hint="eastAsia" w:ascii="微软雅黑" w:hAnsi="微软雅黑" w:eastAsia="微软雅黑" w:cs="微软雅黑"/>
                <w:b w:val="0"/>
                <w:bCs w:val="0"/>
                <w:sz w:val="21"/>
                <w:szCs w:val="21"/>
              </w:rPr>
              <w:t>将全额收取所退</w:t>
            </w:r>
            <w:r>
              <w:rPr>
                <w:rFonts w:hint="eastAsia" w:ascii="微软雅黑" w:hAnsi="微软雅黑" w:eastAsia="微软雅黑" w:cs="微软雅黑"/>
                <w:b w:val="0"/>
                <w:bCs w:val="0"/>
                <w:sz w:val="21"/>
                <w:szCs w:val="21"/>
                <w:lang w:val="en-US" w:eastAsia="zh-CN"/>
              </w:rPr>
              <w:t>船位</w:t>
            </w:r>
            <w:r>
              <w:rPr>
                <w:rFonts w:hint="eastAsia" w:ascii="微软雅黑" w:hAnsi="微软雅黑" w:eastAsia="微软雅黑" w:cs="微软雅黑"/>
                <w:b w:val="0"/>
                <w:bCs w:val="0"/>
                <w:sz w:val="21"/>
                <w:szCs w:val="21"/>
              </w:rPr>
              <w:t>的100%作为损失费。</w:t>
            </w:r>
            <w:bookmarkEnd w:id="0"/>
            <w:r>
              <w:rPr>
                <w:rFonts w:hint="eastAsia" w:ascii="微软雅黑" w:hAnsi="微软雅黑" w:eastAsia="微软雅黑" w:cs="微软雅黑"/>
                <w:b w:val="0"/>
                <w:bCs w:val="0"/>
                <w:sz w:val="21"/>
                <w:szCs w:val="21"/>
              </w:rPr>
              <w:t xml:space="preserve">                 </w:t>
            </w:r>
          </w:p>
          <w:p w14:paraId="58200A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3</w:t>
            </w:r>
            <w:r>
              <w:rPr>
                <w:rFonts w:hint="eastAsia" w:ascii="微软雅黑" w:hAnsi="微软雅黑" w:eastAsia="微软雅黑" w:cs="微软雅黑"/>
                <w:b w:val="0"/>
                <w:bCs w:val="0"/>
                <w:sz w:val="21"/>
                <w:szCs w:val="21"/>
              </w:rPr>
              <w:t>、特别说明：以上船票、用餐、门票、陆地为打包价格，客人自愿放弃用餐、景点不游览费用不退，以上行程景点已享受团队优惠价格，不再享受任何证件优惠（包括老年证、学生证及军官证等）。</w:t>
            </w:r>
          </w:p>
          <w:p w14:paraId="47931AF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b w:val="0"/>
                <w:bCs w:val="0"/>
                <w:sz w:val="21"/>
                <w:szCs w:val="21"/>
              </w:rPr>
              <w:t>、 因三峡</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是涉外</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，服务方式也与国际接轨，收取小费成为了传统与惯例。为激励</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工作人员向游客提供更加规范、优质的服务，建议游客向</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工作人员支付小费。若您对船上全体工作人员服务认可和满意，可于离船时自愿在</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前台设立的小费箱中投入小费信封。建议小费标准为每人</w:t>
            </w:r>
            <w:r>
              <w:rPr>
                <w:rFonts w:hint="eastAsia" w:ascii="微软雅黑" w:hAnsi="微软雅黑" w:eastAsia="微软雅黑" w:cs="微软雅黑"/>
                <w:b w:val="0"/>
                <w:bCs w:val="0"/>
                <w:sz w:val="21"/>
                <w:szCs w:val="21"/>
                <w:lang w:val="en-US" w:eastAsia="zh-CN"/>
              </w:rPr>
              <w:t>50</w:t>
            </w:r>
            <w:r>
              <w:rPr>
                <w:rFonts w:hint="eastAsia" w:ascii="微软雅黑" w:hAnsi="微软雅黑" w:eastAsia="微软雅黑" w:cs="微软雅黑"/>
                <w:b w:val="0"/>
                <w:bCs w:val="0"/>
                <w:sz w:val="21"/>
                <w:szCs w:val="21"/>
              </w:rPr>
              <w:t>元</w:t>
            </w:r>
            <w:r>
              <w:rPr>
                <w:rFonts w:hint="eastAsia" w:ascii="微软雅黑" w:hAnsi="微软雅黑" w:eastAsia="微软雅黑" w:cs="微软雅黑"/>
                <w:b w:val="0"/>
                <w:bCs w:val="0"/>
                <w:sz w:val="21"/>
                <w:szCs w:val="21"/>
                <w:lang w:val="en-US" w:eastAsia="zh-CN"/>
              </w:rPr>
              <w:t>/人.晚</w:t>
            </w:r>
            <w:r>
              <w:rPr>
                <w:rFonts w:hint="eastAsia" w:ascii="微软雅黑" w:hAnsi="微软雅黑" w:eastAsia="微软雅黑" w:cs="微软雅黑"/>
                <w:b w:val="0"/>
                <w:bCs w:val="0"/>
                <w:sz w:val="21"/>
                <w:szCs w:val="21"/>
              </w:rPr>
              <w:t>人民币，此费用为自愿投放，不强制。</w:t>
            </w:r>
          </w:p>
          <w:p w14:paraId="76D9B33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sz w:val="21"/>
                <w:szCs w:val="21"/>
              </w:rPr>
              <w:t>、在整个</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旅途中，为了行程更加顺利丰富，请您留意每天在公共区域及房间内为您准备的行程安排计划。最后，祝您有一个完美的长江三峡</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之旅！</w:t>
            </w:r>
          </w:p>
          <w:p w14:paraId="3C470DE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★温馨提示★</w:t>
            </w:r>
          </w:p>
          <w:p w14:paraId="26896DF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衣物</w:t>
            </w:r>
          </w:p>
          <w:p w14:paraId="4F819EC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rPr>
              <w:t>根据自己的情况，主要以休闲、轻松的服装为主；因上岸参观时徒步行走的时间较长，我们建议您准备便鞋。</w:t>
            </w:r>
          </w:p>
          <w:p w14:paraId="6D97E3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夏季：三峡地区夏季气温较高，日照时间较长，最好能准备帽子，太阳镜，防晒霜等物品。</w:t>
            </w:r>
          </w:p>
          <w:p w14:paraId="7C91F8B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卫生防预</w:t>
            </w:r>
          </w:p>
          <w:p w14:paraId="426F74C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出发前</w:t>
            </w:r>
            <w:r>
              <w:rPr>
                <w:rFonts w:hint="eastAsia" w:ascii="微软雅黑" w:hAnsi="微软雅黑" w:eastAsia="微软雅黑" w:cs="微软雅黑"/>
                <w:b w:val="0"/>
                <w:bCs w:val="0"/>
                <w:sz w:val="21"/>
                <w:szCs w:val="21"/>
                <w:lang w:val="en-US" w:eastAsia="zh-CN"/>
              </w:rPr>
              <w:t>建议</w:t>
            </w:r>
            <w:r>
              <w:rPr>
                <w:rFonts w:hint="eastAsia" w:ascii="微软雅黑" w:hAnsi="微软雅黑" w:eastAsia="微软雅黑" w:cs="微软雅黑"/>
                <w:b w:val="0"/>
                <w:bCs w:val="0"/>
                <w:sz w:val="21"/>
                <w:szCs w:val="21"/>
              </w:rPr>
              <w:t>带上平时经常用的感冒和消化系统常用药物。如果身体有什么不适要尽早预防和看医生。</w:t>
            </w:r>
          </w:p>
          <w:p w14:paraId="403602B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电话和传真</w:t>
            </w:r>
          </w:p>
          <w:p w14:paraId="3F3B911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rPr>
              <w:t>长江三峡全线可以使用GMS电话，部分地区可以使用CDMA电话，几乎随时随地您都可以保持和您的家人及朋友的联络。</w:t>
            </w:r>
          </w:p>
          <w:p w14:paraId="767FC69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电器和电源</w:t>
            </w:r>
          </w:p>
          <w:p w14:paraId="6A1500D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基于安全和防火因素考虑，房间内禁止使用自带的电器。</w:t>
            </w:r>
          </w:p>
          <w:p w14:paraId="4C7F519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rPr>
              <w:t>船上消费支付</w:t>
            </w:r>
          </w:p>
          <w:p w14:paraId="4F9B6B1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当您入住</w:t>
            </w:r>
            <w:r>
              <w:rPr>
                <w:rFonts w:hint="eastAsia" w:ascii="微软雅黑" w:hAnsi="微软雅黑" w:eastAsia="微软雅黑" w:cs="微软雅黑"/>
                <w:b w:val="0"/>
                <w:bCs w:val="0"/>
                <w:sz w:val="21"/>
                <w:szCs w:val="21"/>
                <w:lang w:eastAsia="zh-CN"/>
              </w:rPr>
              <w:t>游轮</w:t>
            </w:r>
            <w:r>
              <w:rPr>
                <w:rFonts w:hint="eastAsia" w:ascii="微软雅黑" w:hAnsi="微软雅黑" w:eastAsia="微软雅黑" w:cs="微软雅黑"/>
                <w:b w:val="0"/>
                <w:bCs w:val="0"/>
                <w:sz w:val="21"/>
                <w:szCs w:val="21"/>
              </w:rPr>
              <w:t>后，旅途中，您在船上的一切私人性质的自由自主消费，均须现金</w:t>
            </w:r>
            <w:r>
              <w:rPr>
                <w:rFonts w:hint="eastAsia" w:ascii="微软雅黑" w:hAnsi="微软雅黑" w:eastAsia="微软雅黑" w:cs="微软雅黑"/>
                <w:b w:val="0"/>
                <w:bCs w:val="0"/>
                <w:sz w:val="21"/>
                <w:szCs w:val="21"/>
                <w:lang w:val="en-US" w:eastAsia="zh-CN"/>
              </w:rPr>
              <w:t>或刷卡</w:t>
            </w:r>
            <w:r>
              <w:rPr>
                <w:rFonts w:hint="eastAsia" w:ascii="微软雅黑" w:hAnsi="微软雅黑" w:eastAsia="微软雅黑" w:cs="微软雅黑"/>
                <w:b w:val="0"/>
                <w:bCs w:val="0"/>
                <w:sz w:val="21"/>
                <w:szCs w:val="21"/>
              </w:rPr>
              <w:t>支付。</w:t>
            </w:r>
          </w:p>
          <w:p w14:paraId="698B81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上岸观光</w:t>
            </w:r>
          </w:p>
          <w:p w14:paraId="5EA34CB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rPr>
              <w:t>当你登船之前，您会得到一张团队标识卡，上岸游览景点必须佩</w:t>
            </w:r>
            <w:r>
              <w:rPr>
                <w:rFonts w:hint="eastAsia" w:ascii="微软雅黑" w:hAnsi="微软雅黑" w:eastAsia="微软雅黑" w:cs="微软雅黑"/>
                <w:b w:val="0"/>
                <w:bCs w:val="0"/>
                <w:sz w:val="21"/>
                <w:szCs w:val="21"/>
                <w:lang w:val="en-US" w:eastAsia="zh-CN"/>
              </w:rPr>
              <w:t>戴</w:t>
            </w:r>
            <w:r>
              <w:rPr>
                <w:rFonts w:hint="eastAsia" w:ascii="微软雅黑" w:hAnsi="微软雅黑" w:eastAsia="微软雅黑" w:cs="微软雅黑"/>
                <w:b w:val="0"/>
                <w:bCs w:val="0"/>
                <w:sz w:val="21"/>
                <w:szCs w:val="21"/>
              </w:rPr>
              <w:t>此卡，以此作为游览景点的凭据及导游识别本团客人的标志。需要注意的是，您必须记住您乘坐的游轮名称、停靠的码头和游轮在每一个观光点的起航时间。出现意外情况时，您必须自己在游轮开航前赶回游轮。当您不知道回船的道路时，您可以向当地旅游从业人员或任何市民出示您的离船卡或者有关您乘坐游轮的资料，他们会乐意为您指明回船的道路。</w:t>
            </w:r>
          </w:p>
          <w:p w14:paraId="72514E9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照相和摄像</w:t>
            </w:r>
          </w:p>
          <w:p w14:paraId="6A3BA3CD">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val="0"/>
                <w:bCs w:val="0"/>
                <w:sz w:val="21"/>
                <w:szCs w:val="21"/>
              </w:rPr>
              <w:t>长江三峡的风光是美丽和雄伟的，您不仅要把美丽的风光留在您的脑海，还需要把它们记录到你给你的胶片和录影带中。所以您需要要携带足够胶卷、电池和录影带，最好还有防水装置。</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406C7370">
            <w:pPr>
              <w:spacing w:line="360" w:lineRule="exact"/>
              <w:ind w:left="0" w:leftChars="0" w:firstLine="0" w:firstLineChars="0"/>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4"/>
                <w:highlight w:val="yellow"/>
                <w:lang w:val="en-US" w:eastAsia="zh-CN"/>
              </w:rPr>
              <w:t>☆☆乘船须知及特殊情况说明☆☆</w:t>
            </w:r>
          </w:p>
          <w:p w14:paraId="376CB4A9">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right="0" w:rightChars="0" w:firstLine="2267" w:firstLineChars="1100"/>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2"/>
                <w:sz w:val="21"/>
                <w:szCs w:val="21"/>
              </w:rPr>
              <w:t>老年旅游者、孕妇、疾病患者参团说明书</w:t>
            </w:r>
          </w:p>
          <w:p w14:paraId="665F87B9">
            <w:pPr>
              <w:keepNext w:val="0"/>
              <w:keepLines w:val="0"/>
              <w:pageBreakBefore w:val="0"/>
              <w:widowControl w:val="0"/>
              <w:kinsoku/>
              <w:wordWrap/>
              <w:overflowPunct/>
              <w:topLinePunct w:val="0"/>
              <w:autoSpaceDE/>
              <w:autoSpaceDN/>
              <w:bidi w:val="0"/>
              <w:adjustRightInd/>
              <w:snapToGrid w:val="0"/>
              <w:spacing w:line="360" w:lineRule="exact"/>
              <w:ind w:left="31"/>
              <w:textAlignment w:val="auto"/>
              <w:outlineLvl w:val="1"/>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（一） 6</w:t>
            </w: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rPr>
              <w:t xml:space="preserve"> 岁以上老年旅游者：</w:t>
            </w:r>
          </w:p>
          <w:p w14:paraId="69F087E7">
            <w:pPr>
              <w:keepNext w:val="0"/>
              <w:keepLines w:val="0"/>
              <w:pageBreakBefore w:val="0"/>
              <w:widowControl w:val="0"/>
              <w:kinsoku/>
              <w:wordWrap/>
              <w:overflowPunct/>
              <w:topLinePunct w:val="0"/>
              <w:autoSpaceDE/>
              <w:autoSpaceDN/>
              <w:bidi w:val="0"/>
              <w:adjustRightInd/>
              <w:snapToGrid w:val="0"/>
              <w:spacing w:line="360" w:lineRule="exact"/>
              <w:ind w:left="1" w:right="58" w:firstLine="46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您报名参加的是为普通旅游者设计的旅行团（非老年团</w:t>
            </w:r>
            <w:r>
              <w:rPr>
                <w:rFonts w:hint="eastAsia" w:ascii="微软雅黑" w:hAnsi="微软雅黑" w:eastAsia="微软雅黑" w:cs="微软雅黑"/>
                <w:spacing w:val="-16"/>
                <w:sz w:val="21"/>
                <w:szCs w:val="21"/>
              </w:rPr>
              <w:t>），</w:t>
            </w:r>
            <w:r>
              <w:rPr>
                <w:rFonts w:hint="eastAsia" w:ascii="微软雅黑" w:hAnsi="微软雅黑" w:eastAsia="微软雅黑" w:cs="微软雅黑"/>
                <w:spacing w:val="3"/>
                <w:sz w:val="21"/>
                <w:szCs w:val="21"/>
              </w:rPr>
              <w:t xml:space="preserve"> </w:t>
            </w:r>
            <w:r>
              <w:rPr>
                <w:rFonts w:hint="eastAsia" w:ascii="微软雅黑" w:hAnsi="微软雅黑" w:eastAsia="微软雅黑" w:cs="微软雅黑"/>
                <w:spacing w:val="10"/>
                <w:sz w:val="21"/>
                <w:szCs w:val="21"/>
              </w:rPr>
              <w:t>行程中</w:t>
            </w:r>
            <w:r>
              <w:rPr>
                <w:rFonts w:hint="eastAsia" w:ascii="微软雅黑" w:hAnsi="微软雅黑" w:eastAsia="微软雅黑" w:cs="微软雅黑"/>
                <w:spacing w:val="9"/>
                <w:sz w:val="21"/>
                <w:szCs w:val="21"/>
              </w:rPr>
              <w:t>的安排及提供的服务标准</w:t>
            </w:r>
            <w:r>
              <w:rPr>
                <w:rFonts w:hint="eastAsia" w:ascii="微软雅黑" w:hAnsi="微软雅黑" w:eastAsia="微软雅黑" w:cs="微软雅黑"/>
                <w:spacing w:val="9"/>
                <w:sz w:val="21"/>
                <w:szCs w:val="21"/>
                <w:lang w:val="en-US" w:eastAsia="zh-CN"/>
              </w:rPr>
              <w:t>并非专为</w:t>
            </w:r>
            <w:r>
              <w:rPr>
                <w:rFonts w:hint="eastAsia" w:ascii="微软雅黑" w:hAnsi="微软雅黑" w:eastAsia="微软雅黑" w:cs="微软雅黑"/>
                <w:spacing w:val="9"/>
                <w:sz w:val="21"/>
                <w:szCs w:val="21"/>
              </w:rPr>
              <w:t>老年团所</w:t>
            </w:r>
            <w:r>
              <w:rPr>
                <w:rFonts w:hint="eastAsia" w:ascii="微软雅黑" w:hAnsi="微软雅黑" w:eastAsia="微软雅黑" w:cs="微软雅黑"/>
                <w:spacing w:val="9"/>
                <w:sz w:val="21"/>
                <w:szCs w:val="21"/>
                <w:lang w:val="en-US" w:eastAsia="zh-CN"/>
              </w:rPr>
              <w:t>安排</w:t>
            </w:r>
            <w:r>
              <w:rPr>
                <w:rFonts w:hint="eastAsia" w:ascii="微软雅黑" w:hAnsi="微软雅黑" w:eastAsia="微软雅黑" w:cs="微软雅黑"/>
                <w:spacing w:val="8"/>
                <w:sz w:val="21"/>
                <w:szCs w:val="21"/>
              </w:rPr>
              <w:t>，故通常</w:t>
            </w:r>
            <w:r>
              <w:rPr>
                <w:rFonts w:hint="eastAsia" w:ascii="微软雅黑" w:hAnsi="微软雅黑" w:eastAsia="微软雅黑" w:cs="微软雅黑"/>
                <w:spacing w:val="1"/>
                <w:sz w:val="21"/>
                <w:szCs w:val="21"/>
              </w:rPr>
              <w:t xml:space="preserve"> </w:t>
            </w:r>
            <w:r>
              <w:rPr>
                <w:rFonts w:hint="eastAsia" w:ascii="微软雅黑" w:hAnsi="微软雅黑" w:eastAsia="微软雅黑" w:cs="微软雅黑"/>
                <w:spacing w:val="8"/>
                <w:sz w:val="21"/>
                <w:szCs w:val="21"/>
              </w:rPr>
              <w:t>6</w:t>
            </w:r>
            <w:r>
              <w:rPr>
                <w:rFonts w:hint="eastAsia" w:ascii="微软雅黑" w:hAnsi="微软雅黑" w:eastAsia="微软雅黑" w:cs="微软雅黑"/>
                <w:spacing w:val="8"/>
                <w:sz w:val="21"/>
                <w:szCs w:val="21"/>
                <w:lang w:val="en-US" w:eastAsia="zh-CN"/>
              </w:rPr>
              <w:t>5</w:t>
            </w:r>
            <w:r>
              <w:rPr>
                <w:rFonts w:hint="eastAsia" w:ascii="微软雅黑" w:hAnsi="微软雅黑" w:eastAsia="微软雅黑" w:cs="微软雅黑"/>
                <w:spacing w:val="8"/>
                <w:sz w:val="21"/>
                <w:szCs w:val="21"/>
              </w:rPr>
              <w:t>周岁以上老人不适宜</w:t>
            </w:r>
            <w:r>
              <w:rPr>
                <w:rFonts w:hint="eastAsia" w:ascii="微软雅黑" w:hAnsi="微软雅黑" w:eastAsia="微软雅黑" w:cs="微软雅黑"/>
                <w:spacing w:val="7"/>
                <w:sz w:val="21"/>
                <w:szCs w:val="21"/>
              </w:rPr>
              <w:t>参加普通团队旅游。</w:t>
            </w:r>
            <w:r>
              <w:rPr>
                <w:rFonts w:hint="eastAsia" w:ascii="微软雅黑" w:hAnsi="微软雅黑" w:eastAsia="微软雅黑" w:cs="微软雅黑"/>
                <w:spacing w:val="7"/>
                <w:sz w:val="21"/>
                <w:szCs w:val="21"/>
                <w:lang w:val="en-US" w:eastAsia="zh-CN"/>
              </w:rPr>
              <w:t>因此</w:t>
            </w:r>
            <w:r>
              <w:rPr>
                <w:rFonts w:hint="eastAsia" w:ascii="微软雅黑" w:hAnsi="微软雅黑" w:eastAsia="微软雅黑" w:cs="微软雅黑"/>
                <w:spacing w:val="7"/>
                <w:sz w:val="21"/>
                <w:szCs w:val="21"/>
              </w:rPr>
              <w:t>，老年旅游者不适宜选择高海拔、快节奏、长途跋涉的线路</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应选择平缓、休闲的旅游线路。</w:t>
            </w:r>
          </w:p>
          <w:p w14:paraId="33300A06">
            <w:pPr>
              <w:keepNext w:val="0"/>
              <w:keepLines w:val="0"/>
              <w:pageBreakBefore w:val="0"/>
              <w:widowControl w:val="0"/>
              <w:kinsoku/>
              <w:wordWrap/>
              <w:overflowPunct/>
              <w:topLinePunct w:val="0"/>
              <w:autoSpaceDE/>
              <w:autoSpaceDN/>
              <w:bidi w:val="0"/>
              <w:adjustRightInd/>
              <w:snapToGrid w:val="0"/>
              <w:spacing w:line="360" w:lineRule="exact"/>
              <w:ind w:left="1" w:right="59" w:firstLine="8"/>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75周岁以上老年旅游者报名参团，</w:t>
            </w:r>
            <w:r>
              <w:rPr>
                <w:rFonts w:hint="eastAsia" w:ascii="微软雅黑" w:hAnsi="微软雅黑" w:eastAsia="微软雅黑" w:cs="微软雅黑"/>
                <w:spacing w:val="7"/>
                <w:sz w:val="21"/>
                <w:szCs w:val="21"/>
                <w:lang w:val="en-US" w:eastAsia="zh-CN"/>
              </w:rPr>
              <w:t>需由</w:t>
            </w:r>
            <w:r>
              <w:rPr>
                <w:rFonts w:hint="eastAsia" w:ascii="微软雅黑" w:hAnsi="微软雅黑" w:eastAsia="微软雅黑" w:cs="微软雅黑"/>
                <w:spacing w:val="7"/>
                <w:sz w:val="21"/>
                <w:szCs w:val="21"/>
              </w:rPr>
              <w:t>成年直系家属签字，且宜由成年家属陪同旅游。</w:t>
            </w:r>
            <w:r>
              <w:rPr>
                <w:rFonts w:hint="eastAsia" w:ascii="微软雅黑" w:hAnsi="微软雅黑" w:eastAsia="微软雅黑" w:cs="微软雅黑"/>
                <w:spacing w:val="-39"/>
                <w:sz w:val="21"/>
                <w:szCs w:val="21"/>
              </w:rPr>
              <w:t xml:space="preserve"> </w:t>
            </w:r>
            <w:r>
              <w:rPr>
                <w:rFonts w:hint="eastAsia" w:ascii="微软雅黑" w:hAnsi="微软雅黑" w:eastAsia="微软雅黑" w:cs="微软雅黑"/>
                <w:spacing w:val="7"/>
                <w:sz w:val="21"/>
                <w:szCs w:val="21"/>
              </w:rPr>
              <w:t>为了保障老年旅游者的</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安全</w:t>
            </w:r>
            <w:r>
              <w:rPr>
                <w:rFonts w:hint="eastAsia" w:ascii="微软雅黑" w:hAnsi="微软雅黑" w:eastAsia="微软雅黑" w:cs="微软雅黑"/>
                <w:spacing w:val="5"/>
                <w:sz w:val="21"/>
                <w:szCs w:val="21"/>
                <w:lang w:eastAsia="zh-CN"/>
              </w:rPr>
              <w:t>，</w:t>
            </w:r>
            <w:r>
              <w:rPr>
                <w:rFonts w:hint="eastAsia" w:ascii="微软雅黑" w:hAnsi="微软雅黑" w:eastAsia="微软雅黑" w:cs="微软雅黑"/>
                <w:spacing w:val="5"/>
                <w:sz w:val="21"/>
                <w:szCs w:val="21"/>
              </w:rPr>
              <w:t xml:space="preserve"> 请老年旅游者仔细阅读行程，并评估自身身体状况，慎重考虑是否合适</w:t>
            </w:r>
            <w:r>
              <w:rPr>
                <w:rFonts w:hint="eastAsia" w:ascii="微软雅黑" w:hAnsi="微软雅黑" w:eastAsia="微软雅黑" w:cs="微软雅黑"/>
                <w:spacing w:val="5"/>
                <w:sz w:val="21"/>
                <w:szCs w:val="21"/>
                <w:lang w:val="en-US" w:eastAsia="zh-CN"/>
              </w:rPr>
              <w:t>选择</w:t>
            </w:r>
            <w:r>
              <w:rPr>
                <w:rFonts w:hint="eastAsia" w:ascii="微软雅黑" w:hAnsi="微软雅黑" w:eastAsia="微软雅黑" w:cs="微软雅黑"/>
                <w:spacing w:val="5"/>
                <w:sz w:val="21"/>
                <w:szCs w:val="21"/>
              </w:rPr>
              <w:t>本线路。经旅行社解释后执意参团者，如因自身原因造成不良后果， 旅行社积极协助解决问题， 但不承担赔偿责任。旅游活动不排除存在潜在风险； 70</w:t>
            </w:r>
            <w:r>
              <w:rPr>
                <w:rFonts w:hint="eastAsia" w:ascii="微软雅黑" w:hAnsi="微软雅黑" w:eastAsia="微软雅黑" w:cs="微软雅黑"/>
                <w:spacing w:val="5"/>
                <w:sz w:val="21"/>
                <w:szCs w:val="21"/>
                <w:lang w:val="en-US" w:eastAsia="zh-CN"/>
              </w:rPr>
              <w:t>至</w:t>
            </w:r>
            <w:r>
              <w:rPr>
                <w:rFonts w:hint="eastAsia" w:ascii="微软雅黑" w:hAnsi="微软雅黑" w:eastAsia="微软雅黑" w:cs="微软雅黑"/>
                <w:spacing w:val="5"/>
                <w:sz w:val="21"/>
                <w:szCs w:val="21"/>
              </w:rPr>
              <w:t>99周岁老人的旅游意外保险最高赔额为 15 万元/人。</w:t>
            </w:r>
          </w:p>
          <w:p w14:paraId="61691100">
            <w:pPr>
              <w:keepNext w:val="0"/>
              <w:keepLines w:val="0"/>
              <w:pageBreakBefore w:val="0"/>
              <w:widowControl w:val="0"/>
              <w:kinsoku/>
              <w:wordWrap/>
              <w:overflowPunct/>
              <w:topLinePunct w:val="0"/>
              <w:autoSpaceDE/>
              <w:autoSpaceDN/>
              <w:bidi w:val="0"/>
              <w:adjustRightInd/>
              <w:snapToGrid w:val="0"/>
              <w:spacing w:line="360" w:lineRule="exact"/>
              <w:ind w:left="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5"/>
                <w:sz w:val="21"/>
                <w:szCs w:val="21"/>
              </w:rPr>
              <w:t>疾病不属于旅游意外保险的赔付范畴 （急性病除外， 具体情况按照保险公司赔付条款执行）</w:t>
            </w:r>
            <w:r>
              <w:rPr>
                <w:rFonts w:hint="eastAsia" w:ascii="微软雅黑" w:hAnsi="微软雅黑" w:eastAsia="微软雅黑" w:cs="微软雅黑"/>
                <w:spacing w:val="4"/>
                <w:sz w:val="21"/>
                <w:szCs w:val="21"/>
              </w:rPr>
              <w:t xml:space="preserve"> 。</w:t>
            </w:r>
          </w:p>
          <w:p w14:paraId="03CD0057">
            <w:pPr>
              <w:keepNext w:val="0"/>
              <w:keepLines w:val="0"/>
              <w:pageBreakBefore w:val="0"/>
              <w:widowControl w:val="0"/>
              <w:kinsoku/>
              <w:wordWrap/>
              <w:overflowPunct/>
              <w:topLinePunct w:val="0"/>
              <w:autoSpaceDE/>
              <w:autoSpaceDN/>
              <w:bidi w:val="0"/>
              <w:adjustRightInd/>
              <w:snapToGrid w:val="0"/>
              <w:spacing w:line="360" w:lineRule="exact"/>
              <w:textAlignment w:val="auto"/>
              <w:outlineLvl w:val="1"/>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（二） 孕妇、患疾病旅游者须知</w:t>
            </w:r>
          </w:p>
          <w:p w14:paraId="44783B74">
            <w:pPr>
              <w:keepNext w:val="0"/>
              <w:keepLines w:val="0"/>
              <w:pageBreakBefore w:val="0"/>
              <w:widowControl w:val="0"/>
              <w:kinsoku/>
              <w:wordWrap/>
              <w:overflowPunct/>
              <w:topLinePunct w:val="0"/>
              <w:autoSpaceDE/>
              <w:autoSpaceDN/>
              <w:bidi w:val="0"/>
              <w:adjustRightInd/>
              <w:snapToGrid w:val="0"/>
              <w:spacing w:line="360" w:lineRule="exact"/>
              <w:ind w:right="1" w:firstLine="15"/>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5"/>
                <w:sz w:val="21"/>
                <w:szCs w:val="21"/>
              </w:rPr>
              <w:t>因旅游线路的多样化、复杂性、及旅行社工作人员无法进行一对一的服务等原因，对患有高血压、冠心病、糖尿病</w:t>
            </w:r>
            <w:r>
              <w:rPr>
                <w:rFonts w:hint="eastAsia" w:ascii="微软雅黑" w:hAnsi="微软雅黑" w:eastAsia="微软雅黑" w:cs="微软雅黑"/>
                <w:spacing w:val="5"/>
                <w:sz w:val="21"/>
                <w:szCs w:val="21"/>
                <w:lang w:eastAsia="zh-CN"/>
              </w:rPr>
              <w:t>、</w:t>
            </w:r>
            <w:r>
              <w:rPr>
                <w:rFonts w:hint="eastAsia" w:ascii="微软雅黑" w:hAnsi="微软雅黑" w:eastAsia="微软雅黑" w:cs="微软雅黑"/>
                <w:spacing w:val="10"/>
                <w:sz w:val="21"/>
                <w:szCs w:val="21"/>
              </w:rPr>
              <w:t>慢性支气管炎、肺心病、哮喘、严重贫血、四肢活动不便</w:t>
            </w:r>
            <w:r>
              <w:rPr>
                <w:rFonts w:hint="eastAsia" w:ascii="微软雅黑" w:hAnsi="微软雅黑" w:eastAsia="微软雅黑" w:cs="微软雅黑"/>
                <w:spacing w:val="10"/>
                <w:sz w:val="21"/>
                <w:szCs w:val="21"/>
                <w:lang w:eastAsia="zh-CN"/>
              </w:rPr>
              <w:t>、</w:t>
            </w:r>
            <w:r>
              <w:rPr>
                <w:rFonts w:hint="eastAsia" w:ascii="微软雅黑" w:hAnsi="微软雅黑" w:eastAsia="微软雅黑" w:cs="微软雅黑"/>
                <w:spacing w:val="10"/>
                <w:sz w:val="21"/>
                <w:szCs w:val="21"/>
              </w:rPr>
              <w:t>眼疾、重感冒患者以及</w:t>
            </w:r>
            <w:r>
              <w:rPr>
                <w:rFonts w:hint="eastAsia" w:ascii="微软雅黑" w:hAnsi="微软雅黑" w:eastAsia="微软雅黑" w:cs="微软雅黑"/>
                <w:spacing w:val="9"/>
                <w:sz w:val="21"/>
                <w:szCs w:val="21"/>
              </w:rPr>
              <w:t xml:space="preserve"> 传染病患者、孕妇、精神疾</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7"/>
                <w:sz w:val="21"/>
                <w:szCs w:val="21"/>
              </w:rPr>
              <w:t>病患者等旅游者，不适宜参加团队旅游</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 xml:space="preserve"> 为了保障安全，建议不参加普通旅行</w:t>
            </w:r>
            <w:r>
              <w:rPr>
                <w:rFonts w:hint="eastAsia" w:ascii="微软雅黑" w:hAnsi="微软雅黑" w:eastAsia="微软雅黑" w:cs="微软雅黑"/>
                <w:spacing w:val="6"/>
                <w:sz w:val="21"/>
                <w:szCs w:val="21"/>
              </w:rPr>
              <w:t>团。</w:t>
            </w:r>
            <w:r>
              <w:rPr>
                <w:rFonts w:hint="eastAsia" w:ascii="微软雅黑" w:hAnsi="微软雅黑" w:eastAsia="微软雅黑" w:cs="微软雅黑"/>
                <w:spacing w:val="-33"/>
                <w:sz w:val="21"/>
                <w:szCs w:val="21"/>
              </w:rPr>
              <w:t xml:space="preserve"> </w:t>
            </w:r>
            <w:r>
              <w:rPr>
                <w:rFonts w:hint="eastAsia" w:ascii="微软雅黑" w:hAnsi="微软雅黑" w:eastAsia="微软雅黑" w:cs="微软雅黑"/>
                <w:spacing w:val="6"/>
                <w:sz w:val="21"/>
                <w:szCs w:val="21"/>
              </w:rPr>
              <w:t>除传染病患者、孕妇、</w:t>
            </w:r>
            <w:r>
              <w:rPr>
                <w:rFonts w:hint="eastAsia" w:ascii="微软雅黑" w:hAnsi="微软雅黑" w:eastAsia="微软雅黑" w:cs="微软雅黑"/>
                <w:spacing w:val="6"/>
                <w:sz w:val="21"/>
                <w:szCs w:val="21"/>
                <w:lang w:eastAsia="zh-CN"/>
              </w:rPr>
              <w:t>、</w:t>
            </w:r>
            <w:r>
              <w:rPr>
                <w:rFonts w:hint="eastAsia" w:ascii="微软雅黑" w:hAnsi="微软雅黑" w:eastAsia="微软雅黑" w:cs="微软雅黑"/>
                <w:spacing w:val="6"/>
                <w:sz w:val="21"/>
                <w:szCs w:val="21"/>
              </w:rPr>
              <w:t>精神疾病患者等一定不能参团外，其他疾病患者经旅行社解释后执意参团的，请评估自身身体状况，</w:t>
            </w:r>
            <w:r>
              <w:rPr>
                <w:rFonts w:hint="eastAsia" w:ascii="微软雅黑" w:hAnsi="微软雅黑" w:eastAsia="微软雅黑" w:cs="微软雅黑"/>
                <w:spacing w:val="6"/>
                <w:sz w:val="21"/>
                <w:szCs w:val="21"/>
                <w:lang w:val="en-US" w:eastAsia="zh-CN"/>
              </w:rPr>
              <w:t>需</w:t>
            </w:r>
            <w:r>
              <w:rPr>
                <w:rFonts w:hint="eastAsia" w:ascii="微软雅黑" w:hAnsi="微软雅黑" w:eastAsia="微软雅黑" w:cs="微软雅黑"/>
                <w:spacing w:val="6"/>
                <w:sz w:val="21"/>
                <w:szCs w:val="21"/>
              </w:rPr>
              <w:t>有年轻健康者陪同</w:t>
            </w:r>
            <w:r>
              <w:rPr>
                <w:rFonts w:hint="eastAsia" w:ascii="微软雅黑" w:hAnsi="微软雅黑" w:eastAsia="微软雅黑" w:cs="微软雅黑"/>
                <w:spacing w:val="6"/>
                <w:sz w:val="21"/>
                <w:szCs w:val="21"/>
                <w:lang w:val="en-US" w:eastAsia="zh-CN"/>
              </w:rPr>
              <w:t>方可</w:t>
            </w:r>
            <w:r>
              <w:rPr>
                <w:rFonts w:hint="eastAsia" w:ascii="微软雅黑" w:hAnsi="微软雅黑" w:eastAsia="微软雅黑" w:cs="微软雅黑"/>
                <w:spacing w:val="6"/>
                <w:sz w:val="21"/>
                <w:szCs w:val="21"/>
              </w:rPr>
              <w:t>参加旅游； 因自身原因造成不良后</w:t>
            </w:r>
            <w:r>
              <w:rPr>
                <w:rFonts w:hint="eastAsia" w:ascii="微软雅黑" w:hAnsi="微软雅黑" w:eastAsia="微软雅黑" w:cs="微软雅黑"/>
                <w:spacing w:val="5"/>
                <w:sz w:val="21"/>
                <w:szCs w:val="21"/>
              </w:rPr>
              <w:t>果的，旅行社积极协助解决问题，但不承担赔偿责任。</w:t>
            </w:r>
          </w:p>
          <w:p w14:paraId="13925833">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微软雅黑" w:hAnsi="微软雅黑" w:eastAsia="微软雅黑" w:cs="微软雅黑"/>
                <w:b/>
                <w:bCs/>
                <w:spacing w:val="2"/>
                <w:sz w:val="21"/>
                <w:szCs w:val="21"/>
              </w:rPr>
            </w:pPr>
            <w:r>
              <w:rPr>
                <w:rFonts w:hint="eastAsia" w:ascii="微软雅黑" w:hAnsi="微软雅黑" w:eastAsia="微软雅黑" w:cs="微软雅黑"/>
                <w:b/>
                <w:bCs/>
                <w:spacing w:val="2"/>
                <w:sz w:val="21"/>
                <w:szCs w:val="21"/>
              </w:rPr>
              <w:t xml:space="preserve">   </w:t>
            </w:r>
          </w:p>
          <w:p w14:paraId="61152AF3">
            <w:pPr>
              <w:keepNext w:val="0"/>
              <w:keepLines w:val="0"/>
              <w:pageBreakBefore w:val="0"/>
              <w:widowControl w:val="0"/>
              <w:kinsoku/>
              <w:wordWrap/>
              <w:overflowPunct/>
              <w:topLinePunct w:val="0"/>
              <w:autoSpaceDE/>
              <w:autoSpaceDN/>
              <w:bidi w:val="0"/>
              <w:adjustRightInd/>
              <w:snapToGrid/>
              <w:spacing w:line="360" w:lineRule="exact"/>
              <w:ind w:right="0" w:firstLine="440" w:firstLineChars="200"/>
              <w:textAlignment w:val="auto"/>
              <w:rPr>
                <w:rFonts w:hint="eastAsia" w:ascii="微软雅黑" w:hAnsi="微软雅黑" w:eastAsia="微软雅黑" w:cs="微软雅黑"/>
                <w:b w:val="0"/>
                <w:bCs w:val="0"/>
                <w:spacing w:val="4"/>
                <w:sz w:val="21"/>
                <w:szCs w:val="21"/>
                <w:lang w:eastAsia="zh-CN"/>
              </w:rPr>
            </w:pPr>
            <w:r>
              <w:rPr>
                <w:rFonts w:hint="eastAsia" w:ascii="微软雅黑" w:hAnsi="微软雅黑" w:eastAsia="微软雅黑" w:cs="微软雅黑"/>
                <w:b w:val="0"/>
                <w:bCs w:val="0"/>
                <w:spacing w:val="5"/>
                <w:sz w:val="21"/>
                <w:szCs w:val="21"/>
              </w:rPr>
              <w:t>本人已经详细阅读</w:t>
            </w:r>
            <w:r>
              <w:rPr>
                <w:rFonts w:hint="eastAsia" w:ascii="微软雅黑" w:hAnsi="微软雅黑" w:eastAsia="微软雅黑" w:cs="微软雅黑"/>
                <w:b w:val="0"/>
                <w:bCs w:val="0"/>
                <w:spacing w:val="5"/>
                <w:sz w:val="21"/>
                <w:szCs w:val="21"/>
                <w:lang w:val="en-US" w:eastAsia="zh-CN"/>
              </w:rPr>
              <w:t>本</w:t>
            </w:r>
            <w:r>
              <w:rPr>
                <w:rFonts w:hint="eastAsia" w:ascii="微软雅黑" w:hAnsi="微软雅黑" w:eastAsia="微软雅黑" w:cs="微软雅黑"/>
                <w:b w:val="0"/>
                <w:bCs w:val="0"/>
                <w:spacing w:val="5"/>
                <w:sz w:val="21"/>
                <w:szCs w:val="21"/>
              </w:rPr>
              <w:t>行程，同意并遵守旅行社安排，此文</w:t>
            </w:r>
            <w:r>
              <w:rPr>
                <w:rFonts w:hint="eastAsia" w:ascii="微软雅黑" w:hAnsi="微软雅黑" w:eastAsia="微软雅黑" w:cs="微软雅黑"/>
                <w:b w:val="0"/>
                <w:bCs w:val="0"/>
                <w:spacing w:val="4"/>
                <w:sz w:val="21"/>
                <w:szCs w:val="21"/>
              </w:rPr>
              <w:t>代合同</w:t>
            </w:r>
            <w:r>
              <w:rPr>
                <w:rFonts w:hint="eastAsia" w:ascii="微软雅黑" w:hAnsi="微软雅黑" w:eastAsia="微软雅黑" w:cs="微软雅黑"/>
                <w:b w:val="0"/>
                <w:bCs w:val="0"/>
                <w:spacing w:val="4"/>
                <w:sz w:val="21"/>
                <w:szCs w:val="21"/>
                <w:lang w:eastAsia="zh-CN"/>
              </w:rPr>
              <w:t>。</w:t>
            </w:r>
          </w:p>
          <w:p w14:paraId="72F195E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pacing w:val="1"/>
                <w:sz w:val="21"/>
                <w:szCs w:val="21"/>
                <w:lang w:val="en-US" w:eastAsia="zh-CN"/>
              </w:rPr>
              <w:t>团  号：</w:t>
            </w:r>
            <w:r>
              <w:rPr>
                <w:rFonts w:hint="eastAsia" w:ascii="微软雅黑" w:hAnsi="微软雅黑" w:eastAsia="微软雅黑" w:cs="微软雅黑"/>
                <w:b w:val="0"/>
                <w:bCs w:val="0"/>
                <w:spacing w:val="1"/>
                <w:sz w:val="21"/>
                <w:szCs w:val="21"/>
              </w:rPr>
              <w:t xml:space="preserve">     </w:t>
            </w:r>
            <w:r>
              <w:rPr>
                <w:rFonts w:hint="eastAsia" w:ascii="微软雅黑" w:hAnsi="微软雅黑" w:eastAsia="微软雅黑" w:cs="微软雅黑"/>
                <w:b w:val="0"/>
                <w:bCs w:val="0"/>
                <w:spacing w:val="1"/>
                <w:sz w:val="21"/>
                <w:szCs w:val="21"/>
                <w:lang w:val="en-US" w:eastAsia="zh-CN"/>
              </w:rPr>
              <w:t xml:space="preserve">                                   </w:t>
            </w:r>
          </w:p>
          <w:p w14:paraId="200389A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pacing w:val="6"/>
                <w:sz w:val="21"/>
                <w:szCs w:val="21"/>
              </w:rPr>
              <w:t>客人签名：</w:t>
            </w:r>
            <w:r>
              <w:rPr>
                <w:rFonts w:hint="eastAsia" w:ascii="微软雅黑" w:hAnsi="微软雅黑" w:eastAsia="微软雅黑" w:cs="微软雅黑"/>
                <w:b w:val="0"/>
                <w:bCs w:val="0"/>
                <w:spacing w:val="6"/>
                <w:sz w:val="21"/>
                <w:szCs w:val="21"/>
                <w:lang w:val="en-US" w:eastAsia="zh-CN"/>
              </w:rPr>
              <w:t xml:space="preserve">                                   </w:t>
            </w:r>
            <w:r>
              <w:rPr>
                <w:rFonts w:hint="eastAsia" w:ascii="微软雅黑" w:hAnsi="微软雅黑" w:eastAsia="微软雅黑" w:cs="微软雅黑"/>
                <w:b w:val="0"/>
                <w:bCs w:val="0"/>
                <w:spacing w:val="-4"/>
                <w:sz w:val="21"/>
                <w:szCs w:val="21"/>
              </w:rPr>
              <w:t>日</w:t>
            </w:r>
            <w:r>
              <w:rPr>
                <w:rFonts w:hint="eastAsia" w:ascii="微软雅黑" w:hAnsi="微软雅黑" w:eastAsia="微软雅黑" w:cs="微软雅黑"/>
                <w:b w:val="0"/>
                <w:bCs w:val="0"/>
                <w:spacing w:val="50"/>
                <w:sz w:val="21"/>
                <w:szCs w:val="21"/>
              </w:rPr>
              <w:t xml:space="preserve"> </w:t>
            </w:r>
            <w:r>
              <w:rPr>
                <w:rFonts w:hint="eastAsia" w:ascii="微软雅黑" w:hAnsi="微软雅黑" w:eastAsia="微软雅黑" w:cs="微软雅黑"/>
                <w:b w:val="0"/>
                <w:bCs w:val="0"/>
                <w:spacing w:val="-4"/>
                <w:sz w:val="21"/>
                <w:szCs w:val="21"/>
              </w:rPr>
              <w:t>期</w:t>
            </w:r>
            <w:r>
              <w:rPr>
                <w:rFonts w:hint="eastAsia" w:ascii="微软雅黑" w:hAnsi="微软雅黑" w:eastAsia="微软雅黑" w:cs="微软雅黑"/>
                <w:b w:val="0"/>
                <w:bCs w:val="0"/>
                <w:spacing w:val="17"/>
                <w:sz w:val="21"/>
                <w:szCs w:val="21"/>
              </w:rPr>
              <w:t xml:space="preserve"> </w:t>
            </w:r>
            <w:r>
              <w:rPr>
                <w:rFonts w:hint="eastAsia" w:ascii="微软雅黑" w:hAnsi="微软雅黑" w:eastAsia="微软雅黑" w:cs="微软雅黑"/>
                <w:b w:val="0"/>
                <w:bCs w:val="0"/>
                <w:spacing w:val="-4"/>
                <w:sz w:val="21"/>
                <w:szCs w:val="21"/>
              </w:rPr>
              <w:t>：</w:t>
            </w:r>
          </w:p>
          <w:p w14:paraId="1BE9168D">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szCs w:val="21"/>
              </w:rPr>
            </w:pPr>
            <w:r>
              <w:rPr>
                <w:rFonts w:hint="eastAsia" w:ascii="微软雅黑" w:hAnsi="微软雅黑" w:eastAsia="微软雅黑" w:cs="微软雅黑"/>
                <w:b w:val="0"/>
                <w:bCs w:val="0"/>
                <w:spacing w:val="5"/>
                <w:sz w:val="21"/>
                <w:szCs w:val="21"/>
                <w:lang w:val="en-US" w:eastAsia="zh-CN"/>
              </w:rPr>
              <w:t>旅行社：                                      经办人</w:t>
            </w:r>
            <w:r>
              <w:rPr>
                <w:rFonts w:hint="eastAsia" w:ascii="微软雅黑" w:hAnsi="微软雅黑" w:eastAsia="微软雅黑" w:cs="微软雅黑"/>
                <w:b/>
                <w:bCs/>
                <w:spacing w:val="2"/>
                <w:sz w:val="21"/>
                <w:szCs w:val="21"/>
              </w:rPr>
              <w:t xml:space="preserve"> </w:t>
            </w:r>
            <w:r>
              <w:rPr>
                <w:rFonts w:hint="eastAsia" w:ascii="微软雅黑" w:hAnsi="微软雅黑" w:eastAsia="微软雅黑" w:cs="微软雅黑"/>
                <w:b/>
                <w:bCs/>
                <w:spacing w:val="1"/>
                <w:sz w:val="21"/>
                <w:szCs w:val="21"/>
              </w:rPr>
              <w:t xml:space="preserve">  </w:t>
            </w:r>
          </w:p>
        </w:tc>
      </w:tr>
    </w:tbl>
    <w:p w14:paraId="2128B66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54BA3"/>
    <w:rsid w:val="0157064E"/>
    <w:rsid w:val="0215330B"/>
    <w:rsid w:val="02492FB3"/>
    <w:rsid w:val="024A7B0B"/>
    <w:rsid w:val="028265A2"/>
    <w:rsid w:val="032D0FCD"/>
    <w:rsid w:val="03343D40"/>
    <w:rsid w:val="034E7440"/>
    <w:rsid w:val="03557F15"/>
    <w:rsid w:val="0378130B"/>
    <w:rsid w:val="03945E14"/>
    <w:rsid w:val="03A22E86"/>
    <w:rsid w:val="03A87411"/>
    <w:rsid w:val="03AE20BE"/>
    <w:rsid w:val="03C54999"/>
    <w:rsid w:val="04DD7012"/>
    <w:rsid w:val="05077321"/>
    <w:rsid w:val="050A2905"/>
    <w:rsid w:val="0599625C"/>
    <w:rsid w:val="05BB103F"/>
    <w:rsid w:val="05C8291B"/>
    <w:rsid w:val="05CD60EF"/>
    <w:rsid w:val="05EB75A5"/>
    <w:rsid w:val="06897EFF"/>
    <w:rsid w:val="06A27213"/>
    <w:rsid w:val="06BA3154"/>
    <w:rsid w:val="06C8688F"/>
    <w:rsid w:val="06D25850"/>
    <w:rsid w:val="0704296D"/>
    <w:rsid w:val="07134710"/>
    <w:rsid w:val="071C41EE"/>
    <w:rsid w:val="072C1A93"/>
    <w:rsid w:val="073B1CE0"/>
    <w:rsid w:val="07723FAA"/>
    <w:rsid w:val="07AF3996"/>
    <w:rsid w:val="07B7012D"/>
    <w:rsid w:val="07D30491"/>
    <w:rsid w:val="07E9375F"/>
    <w:rsid w:val="07E94E08"/>
    <w:rsid w:val="07F9606D"/>
    <w:rsid w:val="080639DA"/>
    <w:rsid w:val="084251FA"/>
    <w:rsid w:val="08863B53"/>
    <w:rsid w:val="088B5A3D"/>
    <w:rsid w:val="08913285"/>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144DE8"/>
    <w:rsid w:val="0C2F2693"/>
    <w:rsid w:val="0C450D6C"/>
    <w:rsid w:val="0C6F3428"/>
    <w:rsid w:val="0C7E69E5"/>
    <w:rsid w:val="0CE63B48"/>
    <w:rsid w:val="0D5F66AE"/>
    <w:rsid w:val="0D6C10EE"/>
    <w:rsid w:val="0DC9323A"/>
    <w:rsid w:val="0E214EC1"/>
    <w:rsid w:val="0E26647A"/>
    <w:rsid w:val="0E4949A1"/>
    <w:rsid w:val="0E59465B"/>
    <w:rsid w:val="0E850379"/>
    <w:rsid w:val="0EF273CF"/>
    <w:rsid w:val="0FE656DF"/>
    <w:rsid w:val="10F16AE3"/>
    <w:rsid w:val="10F62635"/>
    <w:rsid w:val="11375BEE"/>
    <w:rsid w:val="11427B0D"/>
    <w:rsid w:val="11B34360"/>
    <w:rsid w:val="11BB3189"/>
    <w:rsid w:val="121C2DFB"/>
    <w:rsid w:val="12361B78"/>
    <w:rsid w:val="12EF0A4F"/>
    <w:rsid w:val="13097623"/>
    <w:rsid w:val="13121E46"/>
    <w:rsid w:val="13371388"/>
    <w:rsid w:val="136A4169"/>
    <w:rsid w:val="13C66D1B"/>
    <w:rsid w:val="13EC55EC"/>
    <w:rsid w:val="13F66591"/>
    <w:rsid w:val="14321F2A"/>
    <w:rsid w:val="14385713"/>
    <w:rsid w:val="143C7B63"/>
    <w:rsid w:val="14622E02"/>
    <w:rsid w:val="150D1EBE"/>
    <w:rsid w:val="15B0279D"/>
    <w:rsid w:val="15B36F61"/>
    <w:rsid w:val="15D42860"/>
    <w:rsid w:val="15FF7837"/>
    <w:rsid w:val="161B15A8"/>
    <w:rsid w:val="16960D6D"/>
    <w:rsid w:val="16A80F0A"/>
    <w:rsid w:val="16AF39B2"/>
    <w:rsid w:val="16F7733F"/>
    <w:rsid w:val="17A50CDA"/>
    <w:rsid w:val="17A77194"/>
    <w:rsid w:val="17AB7D29"/>
    <w:rsid w:val="17AE51C3"/>
    <w:rsid w:val="17AF7A04"/>
    <w:rsid w:val="183B6DAB"/>
    <w:rsid w:val="188437C4"/>
    <w:rsid w:val="189A56D0"/>
    <w:rsid w:val="18BC4164"/>
    <w:rsid w:val="192B5C7B"/>
    <w:rsid w:val="19F63A29"/>
    <w:rsid w:val="1A066980"/>
    <w:rsid w:val="1A18361C"/>
    <w:rsid w:val="1A4B1305"/>
    <w:rsid w:val="1AA41354"/>
    <w:rsid w:val="1B25234D"/>
    <w:rsid w:val="1B4A6010"/>
    <w:rsid w:val="1BA04EFC"/>
    <w:rsid w:val="1C2F10F1"/>
    <w:rsid w:val="1C396506"/>
    <w:rsid w:val="1C4C0D55"/>
    <w:rsid w:val="1C6F14EE"/>
    <w:rsid w:val="1CA647A6"/>
    <w:rsid w:val="1CA66D5E"/>
    <w:rsid w:val="1CE95744"/>
    <w:rsid w:val="1CED73D2"/>
    <w:rsid w:val="1D185ADC"/>
    <w:rsid w:val="1D5C01C9"/>
    <w:rsid w:val="1D9751A0"/>
    <w:rsid w:val="1DCC5DB6"/>
    <w:rsid w:val="1E3501C4"/>
    <w:rsid w:val="1E4D585F"/>
    <w:rsid w:val="1E841FFE"/>
    <w:rsid w:val="1E9D0A15"/>
    <w:rsid w:val="1EB8717C"/>
    <w:rsid w:val="1F220A99"/>
    <w:rsid w:val="1F246147"/>
    <w:rsid w:val="1F4D65B6"/>
    <w:rsid w:val="1FBC28E0"/>
    <w:rsid w:val="200F7270"/>
    <w:rsid w:val="2020322B"/>
    <w:rsid w:val="205B6E3B"/>
    <w:rsid w:val="209113C6"/>
    <w:rsid w:val="20995C21"/>
    <w:rsid w:val="20AC4ABE"/>
    <w:rsid w:val="20CF5F02"/>
    <w:rsid w:val="20D032CF"/>
    <w:rsid w:val="21090163"/>
    <w:rsid w:val="21334B7C"/>
    <w:rsid w:val="216D4A20"/>
    <w:rsid w:val="21B76F72"/>
    <w:rsid w:val="22233137"/>
    <w:rsid w:val="22244B28"/>
    <w:rsid w:val="22464DDD"/>
    <w:rsid w:val="22840166"/>
    <w:rsid w:val="22E06CA1"/>
    <w:rsid w:val="22E744D4"/>
    <w:rsid w:val="23130E25"/>
    <w:rsid w:val="238D5611"/>
    <w:rsid w:val="23D5466C"/>
    <w:rsid w:val="23E40D09"/>
    <w:rsid w:val="240750C5"/>
    <w:rsid w:val="24A3267C"/>
    <w:rsid w:val="24A63957"/>
    <w:rsid w:val="24C00315"/>
    <w:rsid w:val="257225F5"/>
    <w:rsid w:val="257539AC"/>
    <w:rsid w:val="257A557F"/>
    <w:rsid w:val="25986633"/>
    <w:rsid w:val="25C27A8F"/>
    <w:rsid w:val="26432D0A"/>
    <w:rsid w:val="26527DE2"/>
    <w:rsid w:val="268279BE"/>
    <w:rsid w:val="26A435E6"/>
    <w:rsid w:val="26A55C9F"/>
    <w:rsid w:val="27026F8E"/>
    <w:rsid w:val="2722676E"/>
    <w:rsid w:val="27914A0E"/>
    <w:rsid w:val="27934C2A"/>
    <w:rsid w:val="27A537A4"/>
    <w:rsid w:val="27F33DF7"/>
    <w:rsid w:val="28245521"/>
    <w:rsid w:val="283D5649"/>
    <w:rsid w:val="2858552C"/>
    <w:rsid w:val="28692F0F"/>
    <w:rsid w:val="28DE2432"/>
    <w:rsid w:val="29112363"/>
    <w:rsid w:val="295469FF"/>
    <w:rsid w:val="29607497"/>
    <w:rsid w:val="29991642"/>
    <w:rsid w:val="29AC104D"/>
    <w:rsid w:val="29BC1CC6"/>
    <w:rsid w:val="29CB7FBF"/>
    <w:rsid w:val="29D013B1"/>
    <w:rsid w:val="29ED0967"/>
    <w:rsid w:val="2A397D52"/>
    <w:rsid w:val="2A4915D0"/>
    <w:rsid w:val="2A4B564D"/>
    <w:rsid w:val="2A671C3C"/>
    <w:rsid w:val="2AAB5DE7"/>
    <w:rsid w:val="2AED28A3"/>
    <w:rsid w:val="2B1151B3"/>
    <w:rsid w:val="2BAB2B4A"/>
    <w:rsid w:val="2BF57730"/>
    <w:rsid w:val="2C493A17"/>
    <w:rsid w:val="2CB96718"/>
    <w:rsid w:val="2CE850D0"/>
    <w:rsid w:val="2CF439DB"/>
    <w:rsid w:val="2D234CF5"/>
    <w:rsid w:val="2D7050C6"/>
    <w:rsid w:val="2DA84860"/>
    <w:rsid w:val="2DC860A6"/>
    <w:rsid w:val="2DF67CC1"/>
    <w:rsid w:val="2E344345"/>
    <w:rsid w:val="2E772AC7"/>
    <w:rsid w:val="2EC073EE"/>
    <w:rsid w:val="2EC75720"/>
    <w:rsid w:val="2EDE4234"/>
    <w:rsid w:val="2EE948D6"/>
    <w:rsid w:val="2EF53261"/>
    <w:rsid w:val="2F046E1E"/>
    <w:rsid w:val="2F357C66"/>
    <w:rsid w:val="2F3E035E"/>
    <w:rsid w:val="2F4F4441"/>
    <w:rsid w:val="2FE11772"/>
    <w:rsid w:val="2FE901C9"/>
    <w:rsid w:val="304F7202"/>
    <w:rsid w:val="309729E7"/>
    <w:rsid w:val="30AA08EF"/>
    <w:rsid w:val="30BA4CEE"/>
    <w:rsid w:val="30D42767"/>
    <w:rsid w:val="30DF0305"/>
    <w:rsid w:val="30DF67EA"/>
    <w:rsid w:val="315D7DA4"/>
    <w:rsid w:val="31646571"/>
    <w:rsid w:val="319A0FE4"/>
    <w:rsid w:val="31F10857"/>
    <w:rsid w:val="321C2BAF"/>
    <w:rsid w:val="32843FFE"/>
    <w:rsid w:val="32A3555E"/>
    <w:rsid w:val="32C2475E"/>
    <w:rsid w:val="331B16C0"/>
    <w:rsid w:val="33261046"/>
    <w:rsid w:val="33641229"/>
    <w:rsid w:val="33784CD4"/>
    <w:rsid w:val="33963A1E"/>
    <w:rsid w:val="33DD2C4D"/>
    <w:rsid w:val="33FC4F3D"/>
    <w:rsid w:val="340C3D9A"/>
    <w:rsid w:val="342E081E"/>
    <w:rsid w:val="358C22F5"/>
    <w:rsid w:val="359F0ACF"/>
    <w:rsid w:val="36276C4F"/>
    <w:rsid w:val="36344D15"/>
    <w:rsid w:val="36752810"/>
    <w:rsid w:val="371B773A"/>
    <w:rsid w:val="37305A51"/>
    <w:rsid w:val="37753BAB"/>
    <w:rsid w:val="37FA789F"/>
    <w:rsid w:val="37FF748C"/>
    <w:rsid w:val="381F242D"/>
    <w:rsid w:val="3901371D"/>
    <w:rsid w:val="39B44CE2"/>
    <w:rsid w:val="39D4252A"/>
    <w:rsid w:val="39ED3ED1"/>
    <w:rsid w:val="3A9665B5"/>
    <w:rsid w:val="3AB309C7"/>
    <w:rsid w:val="3AEF3ACE"/>
    <w:rsid w:val="3BEE365F"/>
    <w:rsid w:val="3C03711E"/>
    <w:rsid w:val="3C0C0AA1"/>
    <w:rsid w:val="3C164A8D"/>
    <w:rsid w:val="3C4D011D"/>
    <w:rsid w:val="3C5710E9"/>
    <w:rsid w:val="3CB7466E"/>
    <w:rsid w:val="3CF8135F"/>
    <w:rsid w:val="3D874491"/>
    <w:rsid w:val="3DED66E2"/>
    <w:rsid w:val="3E5F22F2"/>
    <w:rsid w:val="3E6413E1"/>
    <w:rsid w:val="3E691DE9"/>
    <w:rsid w:val="3EE53006"/>
    <w:rsid w:val="3F1407B5"/>
    <w:rsid w:val="3F1D7244"/>
    <w:rsid w:val="3F1E55F3"/>
    <w:rsid w:val="3F440007"/>
    <w:rsid w:val="3F691A42"/>
    <w:rsid w:val="3F711169"/>
    <w:rsid w:val="3F895B21"/>
    <w:rsid w:val="3FC93043"/>
    <w:rsid w:val="406B3968"/>
    <w:rsid w:val="40B04456"/>
    <w:rsid w:val="40FB5581"/>
    <w:rsid w:val="4119604E"/>
    <w:rsid w:val="41554B3E"/>
    <w:rsid w:val="418D1865"/>
    <w:rsid w:val="4226335B"/>
    <w:rsid w:val="42601C60"/>
    <w:rsid w:val="427D349E"/>
    <w:rsid w:val="428E46BB"/>
    <w:rsid w:val="429152B6"/>
    <w:rsid w:val="429945EC"/>
    <w:rsid w:val="42B02964"/>
    <w:rsid w:val="43170206"/>
    <w:rsid w:val="43413C27"/>
    <w:rsid w:val="438229E8"/>
    <w:rsid w:val="43C51CEE"/>
    <w:rsid w:val="43D51CF5"/>
    <w:rsid w:val="43D93497"/>
    <w:rsid w:val="44267114"/>
    <w:rsid w:val="449414B5"/>
    <w:rsid w:val="44CE29A6"/>
    <w:rsid w:val="45164A6A"/>
    <w:rsid w:val="45295867"/>
    <w:rsid w:val="453C1DDB"/>
    <w:rsid w:val="459840BF"/>
    <w:rsid w:val="45BF6450"/>
    <w:rsid w:val="45C75A05"/>
    <w:rsid w:val="460401AE"/>
    <w:rsid w:val="46335606"/>
    <w:rsid w:val="46454B73"/>
    <w:rsid w:val="46486737"/>
    <w:rsid w:val="46A00465"/>
    <w:rsid w:val="46CA0B1B"/>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926818"/>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056A63"/>
    <w:rsid w:val="4ED93AEE"/>
    <w:rsid w:val="4EF30950"/>
    <w:rsid w:val="4F0202B4"/>
    <w:rsid w:val="4F2D45BF"/>
    <w:rsid w:val="4F3802E4"/>
    <w:rsid w:val="4F5F5742"/>
    <w:rsid w:val="4F702AB6"/>
    <w:rsid w:val="4F8B1BBF"/>
    <w:rsid w:val="4F8E75F4"/>
    <w:rsid w:val="4FA02EC7"/>
    <w:rsid w:val="508D440A"/>
    <w:rsid w:val="5103733B"/>
    <w:rsid w:val="511E308E"/>
    <w:rsid w:val="51217D24"/>
    <w:rsid w:val="51560851"/>
    <w:rsid w:val="521E562C"/>
    <w:rsid w:val="523C2D3F"/>
    <w:rsid w:val="52926B8C"/>
    <w:rsid w:val="52F03774"/>
    <w:rsid w:val="538B0C1D"/>
    <w:rsid w:val="53C84C9E"/>
    <w:rsid w:val="540602EE"/>
    <w:rsid w:val="543D41FB"/>
    <w:rsid w:val="548E5CAE"/>
    <w:rsid w:val="54C97A24"/>
    <w:rsid w:val="54EC6085"/>
    <w:rsid w:val="551A3EF8"/>
    <w:rsid w:val="55387801"/>
    <w:rsid w:val="556A2277"/>
    <w:rsid w:val="55CF021E"/>
    <w:rsid w:val="55D93D68"/>
    <w:rsid w:val="561720BD"/>
    <w:rsid w:val="56405548"/>
    <w:rsid w:val="565076BF"/>
    <w:rsid w:val="56511950"/>
    <w:rsid w:val="56693A34"/>
    <w:rsid w:val="56891D8F"/>
    <w:rsid w:val="56C02F6A"/>
    <w:rsid w:val="56FC04DC"/>
    <w:rsid w:val="570D43E2"/>
    <w:rsid w:val="57212E09"/>
    <w:rsid w:val="57284198"/>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8B2F30"/>
    <w:rsid w:val="5CF657CD"/>
    <w:rsid w:val="5D343E68"/>
    <w:rsid w:val="5D395EF9"/>
    <w:rsid w:val="5D460992"/>
    <w:rsid w:val="5DAF2F1E"/>
    <w:rsid w:val="5DD4636B"/>
    <w:rsid w:val="5E856373"/>
    <w:rsid w:val="5EA17CC3"/>
    <w:rsid w:val="5EAF3E6C"/>
    <w:rsid w:val="5F3B0C4C"/>
    <w:rsid w:val="5F744E64"/>
    <w:rsid w:val="5FA76558"/>
    <w:rsid w:val="600225BA"/>
    <w:rsid w:val="6018347B"/>
    <w:rsid w:val="60B92304"/>
    <w:rsid w:val="60C73DE5"/>
    <w:rsid w:val="60EA73D6"/>
    <w:rsid w:val="61151C31"/>
    <w:rsid w:val="6133198D"/>
    <w:rsid w:val="617E0AF8"/>
    <w:rsid w:val="619304B3"/>
    <w:rsid w:val="61B45EE6"/>
    <w:rsid w:val="61B57C03"/>
    <w:rsid w:val="62D32766"/>
    <w:rsid w:val="63006B79"/>
    <w:rsid w:val="630261E5"/>
    <w:rsid w:val="63600E30"/>
    <w:rsid w:val="637C1DF3"/>
    <w:rsid w:val="63D12988"/>
    <w:rsid w:val="63D342E8"/>
    <w:rsid w:val="640D5BAD"/>
    <w:rsid w:val="642C1302"/>
    <w:rsid w:val="645E744B"/>
    <w:rsid w:val="652A2C5E"/>
    <w:rsid w:val="65482D25"/>
    <w:rsid w:val="65AE41C1"/>
    <w:rsid w:val="65B95839"/>
    <w:rsid w:val="65CB7234"/>
    <w:rsid w:val="65DC23AC"/>
    <w:rsid w:val="664D50DC"/>
    <w:rsid w:val="66935810"/>
    <w:rsid w:val="669D3B0F"/>
    <w:rsid w:val="66AC566C"/>
    <w:rsid w:val="67253A12"/>
    <w:rsid w:val="672E5BEB"/>
    <w:rsid w:val="677F50DB"/>
    <w:rsid w:val="678A07EE"/>
    <w:rsid w:val="67A4786A"/>
    <w:rsid w:val="67AD5B2D"/>
    <w:rsid w:val="67B67376"/>
    <w:rsid w:val="684D7F02"/>
    <w:rsid w:val="688B5C95"/>
    <w:rsid w:val="68920D7B"/>
    <w:rsid w:val="691335F2"/>
    <w:rsid w:val="692719A4"/>
    <w:rsid w:val="69362744"/>
    <w:rsid w:val="694F4AE2"/>
    <w:rsid w:val="696401FF"/>
    <w:rsid w:val="699A749A"/>
    <w:rsid w:val="69AA7668"/>
    <w:rsid w:val="69C60062"/>
    <w:rsid w:val="6A206802"/>
    <w:rsid w:val="6AF7140F"/>
    <w:rsid w:val="6B7F494F"/>
    <w:rsid w:val="6B8D6287"/>
    <w:rsid w:val="6BC51A85"/>
    <w:rsid w:val="6BCD012A"/>
    <w:rsid w:val="6BD1058C"/>
    <w:rsid w:val="6BD603FA"/>
    <w:rsid w:val="6BE558C2"/>
    <w:rsid w:val="6BE57596"/>
    <w:rsid w:val="6BFD5516"/>
    <w:rsid w:val="6C4F545A"/>
    <w:rsid w:val="6CED3119"/>
    <w:rsid w:val="6D091E11"/>
    <w:rsid w:val="6DA4008B"/>
    <w:rsid w:val="6DD9064C"/>
    <w:rsid w:val="6EB34837"/>
    <w:rsid w:val="6F20013B"/>
    <w:rsid w:val="71D37635"/>
    <w:rsid w:val="722A21C5"/>
    <w:rsid w:val="72BC780D"/>
    <w:rsid w:val="72C62AA1"/>
    <w:rsid w:val="72C75081"/>
    <w:rsid w:val="72F851A0"/>
    <w:rsid w:val="73195863"/>
    <w:rsid w:val="73B250BD"/>
    <w:rsid w:val="73CE3E28"/>
    <w:rsid w:val="743D4317"/>
    <w:rsid w:val="74CC21AE"/>
    <w:rsid w:val="74DD4D17"/>
    <w:rsid w:val="74EE6EA4"/>
    <w:rsid w:val="74FB715A"/>
    <w:rsid w:val="75093403"/>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930456"/>
    <w:rsid w:val="78E8447A"/>
    <w:rsid w:val="78F35532"/>
    <w:rsid w:val="78F665DB"/>
    <w:rsid w:val="792B2D90"/>
    <w:rsid w:val="795839D1"/>
    <w:rsid w:val="79600CBC"/>
    <w:rsid w:val="798B5156"/>
    <w:rsid w:val="799176AF"/>
    <w:rsid w:val="7AE42429"/>
    <w:rsid w:val="7AEC5358"/>
    <w:rsid w:val="7B2A1EE8"/>
    <w:rsid w:val="7B4E7DC1"/>
    <w:rsid w:val="7B57450C"/>
    <w:rsid w:val="7B6F5A5B"/>
    <w:rsid w:val="7BDE4262"/>
    <w:rsid w:val="7C4428ED"/>
    <w:rsid w:val="7C445B0B"/>
    <w:rsid w:val="7C971957"/>
    <w:rsid w:val="7C9832E5"/>
    <w:rsid w:val="7CBC3C46"/>
    <w:rsid w:val="7D027BEA"/>
    <w:rsid w:val="7D2F4E8F"/>
    <w:rsid w:val="7D5B2135"/>
    <w:rsid w:val="7D7A3790"/>
    <w:rsid w:val="7D7E5EC1"/>
    <w:rsid w:val="7DA66CC3"/>
    <w:rsid w:val="7DB0236B"/>
    <w:rsid w:val="7DB3215D"/>
    <w:rsid w:val="7DDF7215"/>
    <w:rsid w:val="7E2A7DC1"/>
    <w:rsid w:val="7E81400A"/>
    <w:rsid w:val="7EAE28A5"/>
    <w:rsid w:val="7EB1571F"/>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1"/>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rFonts w:ascii="Times New Roman" w:hAnsi="Times New Roman" w:eastAsia="宋体" w:cs="Times New Roman"/>
      <w:i/>
      <w:iCs/>
      <w:sz w:val="21"/>
    </w:rPr>
  </w:style>
  <w:style w:type="character" w:styleId="17">
    <w:name w:val="Hyperlink"/>
    <w:basedOn w:val="13"/>
    <w:autoRedefine/>
    <w:qFormat/>
    <w:uiPriority w:val="0"/>
    <w:rPr>
      <w:color w:val="0000FF"/>
      <w:sz w:val="21"/>
      <w:szCs w:val="20"/>
      <w:u w:val="single"/>
    </w:rPr>
  </w:style>
  <w:style w:type="paragraph" w:styleId="18">
    <w:name w:val="List Paragraph"/>
    <w:basedOn w:val="1"/>
    <w:autoRedefine/>
    <w:qFormat/>
    <w:uiPriority w:val="34"/>
    <w:pPr>
      <w:ind w:firstLine="420" w:firstLineChars="200"/>
    </w:pPr>
  </w:style>
  <w:style w:type="paragraph" w:customStyle="1" w:styleId="19">
    <w:name w:val="Table Paragraph"/>
    <w:basedOn w:val="1"/>
    <w:autoRedefine/>
    <w:qFormat/>
    <w:uiPriority w:val="1"/>
    <w:pPr>
      <w:ind w:left="108"/>
    </w:pPr>
    <w:rPr>
      <w:rFonts w:ascii="微软雅黑" w:hAnsi="微软雅黑" w:eastAsia="微软雅黑" w:cs="微软雅黑"/>
      <w:lang w:val="zh-CN" w:bidi="zh-CN"/>
    </w:rPr>
  </w:style>
  <w:style w:type="character" w:customStyle="1" w:styleId="20">
    <w:name w:val="NormalCharacter"/>
    <w:autoRedefine/>
    <w:qFormat/>
    <w:uiPriority w:val="0"/>
    <w:rPr>
      <w:rFonts w:ascii="Times New Roman" w:hAnsi="Times New Roman" w:eastAsia="宋体" w:cs="Times New Roman"/>
      <w:kern w:val="2"/>
      <w:sz w:val="21"/>
      <w:lang w:val="en-US" w:eastAsia="zh-CN" w:bidi="ar-SA"/>
    </w:rPr>
  </w:style>
  <w:style w:type="character" w:customStyle="1" w:styleId="21">
    <w:name w:val="批注框文本 Char"/>
    <w:basedOn w:val="13"/>
    <w:link w:val="6"/>
    <w:autoRedefine/>
    <w:qFormat/>
    <w:uiPriority w:val="0"/>
    <w:rPr>
      <w:rFonts w:ascii="Calibri" w:hAnsi="Calibri"/>
      <w:kern w:val="2"/>
      <w:sz w:val="18"/>
      <w:szCs w:val="18"/>
    </w:rPr>
  </w:style>
  <w:style w:type="character" w:customStyle="1" w:styleId="22">
    <w:name w:val="无"/>
    <w:basedOn w:val="13"/>
    <w:autoRedefine/>
    <w:qFormat/>
    <w:uiPriority w:val="0"/>
  </w:style>
  <w:style w:type="paragraph" w:customStyle="1" w:styleId="23">
    <w:name w:val="Table Text"/>
    <w:basedOn w:val="1"/>
    <w:semiHidden/>
    <w:qFormat/>
    <w:uiPriority w:val="0"/>
    <w:rPr>
      <w:rFonts w:ascii="宋体" w:hAnsi="宋体" w:eastAsia="宋体" w:cs="宋体"/>
      <w:sz w:val="20"/>
      <w:szCs w:val="20"/>
      <w:lang w:val="en-US" w:eastAsia="en-US" w:bidi="ar-SA"/>
    </w:rPr>
  </w:style>
  <w:style w:type="table" w:customStyle="1" w:styleId="24">
    <w:name w:val="Table Normal"/>
    <w:semiHidden/>
    <w:unhideWhenUsed/>
    <w:qFormat/>
    <w:uiPriority w:val="0"/>
    <w:tblPr>
      <w:tblCellMar>
        <w:top w:w="0" w:type="dxa"/>
        <w:left w:w="0" w:type="dxa"/>
        <w:bottom w:w="0" w:type="dxa"/>
        <w:right w:w="0" w:type="dxa"/>
      </w:tblCellMar>
    </w:tblPr>
  </w:style>
  <w:style w:type="paragraph" w:customStyle="1" w:styleId="25">
    <w:name w:val="_Style 6"/>
    <w:basedOn w:val="1"/>
    <w:qFormat/>
    <w:uiPriority w:val="0"/>
    <w:pPr>
      <w:spacing w:after="160" w:afterLines="0" w:line="240" w:lineRule="exact"/>
      <w:jc w:val="left"/>
    </w:pPr>
    <w:rPr>
      <w:color w:val="auto"/>
      <w:kern w:val="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2772</Words>
  <Characters>2866</Characters>
  <Lines>41</Lines>
  <Paragraphs>11</Paragraphs>
  <TotalTime>1</TotalTime>
  <ScaleCrop>false</ScaleCrop>
  <LinksUpToDate>false</LinksUpToDate>
  <CharactersWithSpaces>3089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2026-03-07T09:35:27Z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9A042558441C4FD28A12E3FD7A49A6E2_13</vt:lpwstr>
  </property>
  <property fmtid="{D5CDD505-2E9C-101B-9397-08002B2CF9AE}" pid="5" name="KSOTemplateDocerSaveRecord">
    <vt:lpwstr>eyJoZGlkIjoiMmE0YmQyZThkMDNhOTk1MzM1Njg4M2U1ZjYyNjBjYjMiLCJ1c2VySWQiOiI2NTYxMjIzMDcifQ==</vt:lpwstr>
  </property>
</Properties>
</file>