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6"/>
        <w:jc w:val="both"/>
        <w:rPr>
          <w:rFonts w:hint="eastAsia" w:ascii="宋体" w:hAnsi="宋体" w:eastAsia="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sans-serif" w:hAnsi="sans-serif" w:eastAsia="sans-serif" w:cs="sans-serif"/>
          <w:i w:val="0"/>
          <w:iCs w:val="0"/>
          <w:caps w:val="0"/>
          <w:color w:val="000000"/>
          <w:spacing w:val="0"/>
          <w:sz w:val="19"/>
          <w:szCs w:val="19"/>
        </w:rPr>
        <w:drawing>
          <wp:anchor distT="0" distB="0" distL="114300" distR="114300" simplePos="0" relativeHeight="251665408" behindDoc="0" locked="0" layoutInCell="1" allowOverlap="1">
            <wp:simplePos x="0" y="0"/>
            <wp:positionH relativeFrom="column">
              <wp:posOffset>-246380</wp:posOffset>
            </wp:positionH>
            <wp:positionV relativeFrom="paragraph">
              <wp:posOffset>-396240</wp:posOffset>
            </wp:positionV>
            <wp:extent cx="7637780" cy="12390755"/>
            <wp:effectExtent l="0" t="0" r="1270" b="10795"/>
            <wp:wrapTopAndBottom/>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7637780" cy="12390755"/>
                    </a:xfrm>
                    <a:prstGeom prst="rect">
                      <a:avLst/>
                    </a:prstGeom>
                    <a:noFill/>
                    <a:ln w="9525">
                      <a:noFill/>
                    </a:ln>
                  </pic:spPr>
                </pic:pic>
              </a:graphicData>
            </a:graphic>
          </wp:anchor>
        </w:drawing>
      </w:r>
    </w:p>
    <w:p w14:paraId="11D3CF38">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00B050"/>
          <w:sz w:val="72"/>
          <w:szCs w:val="72"/>
          <w:lang w:eastAsia="zh-CN"/>
        </w:rPr>
        <w:drawing>
          <wp:anchor distT="0" distB="0" distL="114300" distR="114300" simplePos="0" relativeHeight="251666432" behindDoc="1" locked="0" layoutInCell="1" allowOverlap="1">
            <wp:simplePos x="0" y="0"/>
            <wp:positionH relativeFrom="column">
              <wp:posOffset>-199390</wp:posOffset>
            </wp:positionH>
            <wp:positionV relativeFrom="paragraph">
              <wp:posOffset>-384810</wp:posOffset>
            </wp:positionV>
            <wp:extent cx="7629525" cy="10784205"/>
            <wp:effectExtent l="0" t="0" r="9525" b="17145"/>
            <wp:wrapNone/>
            <wp:docPr id="14" name="图片 14" descr="b751d4b00b1ff17438727074fe9dd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751d4b00b1ff17438727074fe9ddfc9"/>
                    <pic:cNvPicPr>
                      <a:picLocks noChangeAspect="1"/>
                    </pic:cNvPicPr>
                  </pic:nvPicPr>
                  <pic:blipFill>
                    <a:blip r:embed="rId12"/>
                    <a:stretch>
                      <a:fillRect/>
                    </a:stretch>
                  </pic:blipFill>
                  <pic:spPr>
                    <a:xfrm>
                      <a:off x="0" y="0"/>
                      <a:ext cx="7629525" cy="10784205"/>
                    </a:xfrm>
                    <a:prstGeom prst="rect">
                      <a:avLst/>
                    </a:prstGeom>
                  </pic:spPr>
                </pic:pic>
              </a:graphicData>
            </a:graphic>
          </wp:anchor>
        </w:drawing>
      </w:r>
    </w:p>
    <w:p w14:paraId="79E7759B">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00B050"/>
          <w:sz w:val="72"/>
          <w:szCs w:val="72"/>
          <w:lang w:eastAsia="zh-CN"/>
        </w:rPr>
        <w:drawing>
          <wp:anchor distT="0" distB="0" distL="114300" distR="114300" simplePos="0" relativeHeight="251667456" behindDoc="0" locked="0" layoutInCell="1" allowOverlap="1">
            <wp:simplePos x="0" y="0"/>
            <wp:positionH relativeFrom="column">
              <wp:posOffset>-215900</wp:posOffset>
            </wp:positionH>
            <wp:positionV relativeFrom="page">
              <wp:posOffset>13335</wp:posOffset>
            </wp:positionV>
            <wp:extent cx="7560310" cy="10686415"/>
            <wp:effectExtent l="0" t="0" r="2540" b="635"/>
            <wp:wrapNone/>
            <wp:docPr id="8" name="图片 8" descr="C:/Users/Administrator/Desktop/A版美化图片/金牌/网红湖南/豪玩/云端/好盛玩/清爽/画板 7 张家界酒店.jpg画板 7 张家界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A版美化图片/金牌/网红湖南/豪玩/云端/好盛玩/清爽/画板 7 张家界酒店.jpg画板 7 张家界酒店"/>
                    <pic:cNvPicPr>
                      <a:picLocks noChangeAspect="1"/>
                    </pic:cNvPicPr>
                  </pic:nvPicPr>
                  <pic:blipFill>
                    <a:blip r:embed="rId13"/>
                    <a:srcRect t="4" b="4"/>
                    <a:stretch>
                      <a:fillRect/>
                    </a:stretch>
                  </pic:blipFill>
                  <pic:spPr>
                    <a:xfrm>
                      <a:off x="0" y="0"/>
                      <a:ext cx="7560310" cy="10686415"/>
                    </a:xfrm>
                    <a:prstGeom prst="rect">
                      <a:avLst/>
                    </a:prstGeom>
                  </pic:spPr>
                </pic:pic>
              </a:graphicData>
            </a:graphic>
          </wp:anchor>
        </w:drawing>
      </w:r>
    </w:p>
    <w:p w14:paraId="4E342196">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00B050"/>
          <w:sz w:val="72"/>
          <w:szCs w:val="72"/>
          <w:lang w:eastAsia="zh-CN"/>
        </w:rPr>
        <w:drawing>
          <wp:anchor distT="0" distB="0" distL="114300" distR="114300" simplePos="0" relativeHeight="251668480" behindDoc="0" locked="0" layoutInCell="1" allowOverlap="1">
            <wp:simplePos x="0" y="0"/>
            <wp:positionH relativeFrom="column">
              <wp:posOffset>-206375</wp:posOffset>
            </wp:positionH>
            <wp:positionV relativeFrom="page">
              <wp:posOffset>-1905</wp:posOffset>
            </wp:positionV>
            <wp:extent cx="7560310" cy="10686415"/>
            <wp:effectExtent l="0" t="0" r="2540" b="635"/>
            <wp:wrapNone/>
            <wp:docPr id="9" name="图片 9" descr="C:/Users/Administrator/Desktop/A版美化图片/金牌/网红湖南/豪玩/云端/好盛玩/清爽/画板 9 凤凰古城.jpg画板 9 凤凰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A版美化图片/金牌/网红湖南/豪玩/云端/好盛玩/清爽/画板 9 凤凰古城.jpg画板 9 凤凰古城"/>
                    <pic:cNvPicPr>
                      <a:picLocks noChangeAspect="1"/>
                    </pic:cNvPicPr>
                  </pic:nvPicPr>
                  <pic:blipFill>
                    <a:blip r:embed="rId14"/>
                    <a:srcRect t="4" b="4"/>
                    <a:stretch>
                      <a:fillRect/>
                    </a:stretch>
                  </pic:blipFill>
                  <pic:spPr>
                    <a:xfrm>
                      <a:off x="0" y="0"/>
                      <a:ext cx="7560310" cy="10686415"/>
                    </a:xfrm>
                    <a:prstGeom prst="rect">
                      <a:avLst/>
                    </a:prstGeom>
                  </pic:spPr>
                </pic:pic>
              </a:graphicData>
            </a:graphic>
          </wp:anchor>
        </w:drawing>
      </w:r>
    </w:p>
    <w:p w14:paraId="6DC1B9B6">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00B050"/>
          <w:sz w:val="72"/>
          <w:szCs w:val="72"/>
          <w:lang w:eastAsia="zh-CN"/>
        </w:rPr>
        <w:drawing>
          <wp:anchor distT="0" distB="0" distL="114300" distR="114300" simplePos="0" relativeHeight="251669504" behindDoc="0" locked="0" layoutInCell="1" allowOverlap="1">
            <wp:simplePos x="0" y="0"/>
            <wp:positionH relativeFrom="column">
              <wp:posOffset>-215900</wp:posOffset>
            </wp:positionH>
            <wp:positionV relativeFrom="page">
              <wp:posOffset>13335</wp:posOffset>
            </wp:positionV>
            <wp:extent cx="7560310" cy="10686415"/>
            <wp:effectExtent l="0" t="0" r="2540" b="635"/>
            <wp:wrapNone/>
            <wp:docPr id="11" name="图片 11" descr="C:/Users/Administrator/Desktop/新建文件夹/好盛玩/清爽/画板 11 车.jpg画板 11 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新建文件夹/好盛玩/清爽/画板 11 车.jpg画板 11 车"/>
                    <pic:cNvPicPr>
                      <a:picLocks noChangeAspect="1"/>
                    </pic:cNvPicPr>
                  </pic:nvPicPr>
                  <pic:blipFill>
                    <a:blip r:embed="rId15"/>
                    <a:srcRect t="4" b="4"/>
                    <a:stretch>
                      <a:fillRect/>
                    </a:stretch>
                  </pic:blipFill>
                  <pic:spPr>
                    <a:xfrm>
                      <a:off x="0" y="0"/>
                      <a:ext cx="7560310" cy="10686415"/>
                    </a:xfrm>
                    <a:prstGeom prst="rect">
                      <a:avLst/>
                    </a:prstGeom>
                  </pic:spPr>
                </pic:pic>
              </a:graphicData>
            </a:graphic>
          </wp:anchor>
        </w:drawing>
      </w:r>
    </w:p>
    <w:p w14:paraId="2E3EB49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59264" behindDoc="0" locked="0" layoutInCell="1" allowOverlap="1">
            <wp:simplePos x="0" y="0"/>
            <wp:positionH relativeFrom="column">
              <wp:posOffset>-198120</wp:posOffset>
            </wp:positionH>
            <wp:positionV relativeFrom="paragraph">
              <wp:posOffset>-533400</wp:posOffset>
            </wp:positionV>
            <wp:extent cx="7567295" cy="10829925"/>
            <wp:effectExtent l="0" t="0" r="14605" b="9525"/>
            <wp:wrapNone/>
            <wp:docPr id="21" name="图片 21" descr="D:/360MoveData/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60MoveData/Users/Administrator/Desktop/7.jpg7"/>
                    <pic:cNvPicPr>
                      <a:picLocks noChangeAspect="1"/>
                    </pic:cNvPicPr>
                  </pic:nvPicPr>
                  <pic:blipFill>
                    <a:blip r:embed="rId16"/>
                    <a:srcRect t="176" b="176"/>
                    <a:stretch>
                      <a:fillRect/>
                    </a:stretch>
                  </pic:blipFill>
                  <pic:spPr>
                    <a:xfrm>
                      <a:off x="0" y="0"/>
                      <a:ext cx="7567295" cy="10829925"/>
                    </a:xfrm>
                    <a:prstGeom prst="rect">
                      <a:avLst/>
                    </a:prstGeom>
                  </pic:spPr>
                </pic:pic>
              </a:graphicData>
            </a:graphic>
          </wp:anchor>
        </w:drawing>
      </w:r>
    </w:p>
    <w:p w14:paraId="6DA0DA41">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-372110</wp:posOffset>
            </wp:positionV>
            <wp:extent cx="7583170" cy="10705465"/>
            <wp:effectExtent l="0" t="0" r="17780" b="635"/>
            <wp:wrapNone/>
            <wp:docPr id="22" name="图片 22" descr="D:/360MoveData/Users/Administrator/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360MoveData/Users/Administrator/Desktop/8.jpg8"/>
                    <pic:cNvPicPr>
                      <a:picLocks noChangeAspect="1"/>
                    </pic:cNvPicPr>
                  </pic:nvPicPr>
                  <pic:blipFill>
                    <a:blip r:embed="rId17"/>
                    <a:srcRect t="243" b="243"/>
                    <a:stretch>
                      <a:fillRect/>
                    </a:stretch>
                  </pic:blipFill>
                  <pic:spPr>
                    <a:xfrm>
                      <a:off x="0" y="0"/>
                      <a:ext cx="7583170" cy="10705465"/>
                    </a:xfrm>
                    <a:prstGeom prst="rect">
                      <a:avLst/>
                    </a:prstGeom>
                  </pic:spPr>
                </pic:pic>
              </a:graphicData>
            </a:graphic>
          </wp:anchor>
        </w:drawing>
      </w:r>
    </w:p>
    <w:p w14:paraId="228DACE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1312" behindDoc="0" locked="0" layoutInCell="1" allowOverlap="1">
            <wp:simplePos x="0" y="0"/>
            <wp:positionH relativeFrom="column">
              <wp:posOffset>-217170</wp:posOffset>
            </wp:positionH>
            <wp:positionV relativeFrom="paragraph">
              <wp:posOffset>-379730</wp:posOffset>
            </wp:positionV>
            <wp:extent cx="7574280" cy="10697210"/>
            <wp:effectExtent l="0" t="0" r="7620" b="8890"/>
            <wp:wrapNone/>
            <wp:docPr id="24" name="图片 24" descr="D:/360MoveData/Users/Administrator/Desktop/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360MoveData/Users/Administrator/Desktop/9.jpg9"/>
                    <pic:cNvPicPr>
                      <a:picLocks noChangeAspect="1"/>
                    </pic:cNvPicPr>
                  </pic:nvPicPr>
                  <pic:blipFill>
                    <a:blip r:embed="rId18"/>
                    <a:srcRect t="222" b="222"/>
                    <a:stretch>
                      <a:fillRect/>
                    </a:stretch>
                  </pic:blipFill>
                  <pic:spPr>
                    <a:xfrm>
                      <a:off x="0" y="0"/>
                      <a:ext cx="7574280" cy="10697210"/>
                    </a:xfrm>
                    <a:prstGeom prst="rect">
                      <a:avLst/>
                    </a:prstGeom>
                  </pic:spPr>
                </pic:pic>
              </a:graphicData>
            </a:graphic>
          </wp:anchor>
        </w:drawing>
      </w:r>
    </w:p>
    <w:p w14:paraId="59C0C5AD">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2336" behindDoc="0" locked="0" layoutInCell="1" allowOverlap="1">
            <wp:simplePos x="0" y="0"/>
            <wp:positionH relativeFrom="column">
              <wp:posOffset>-191135</wp:posOffset>
            </wp:positionH>
            <wp:positionV relativeFrom="paragraph">
              <wp:posOffset>-362585</wp:posOffset>
            </wp:positionV>
            <wp:extent cx="7507605" cy="10650220"/>
            <wp:effectExtent l="0" t="0" r="17145" b="17780"/>
            <wp:wrapNone/>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9"/>
                    <a:stretch>
                      <a:fillRect/>
                    </a:stretch>
                  </pic:blipFill>
                  <pic:spPr>
                    <a:xfrm>
                      <a:off x="0" y="0"/>
                      <a:ext cx="7507605" cy="10650220"/>
                    </a:xfrm>
                    <a:prstGeom prst="rect">
                      <a:avLst/>
                    </a:prstGeom>
                  </pic:spPr>
                </pic:pic>
              </a:graphicData>
            </a:graphic>
          </wp:anchor>
        </w:drawing>
      </w:r>
    </w:p>
    <w:p w14:paraId="013AC5E4">
      <w:pPr>
        <w:pStyle w:val="6"/>
        <w:jc w:val="both"/>
        <w:rPr>
          <w:rFonts w:hint="eastAsia" w:ascii="宋体" w:hAnsi="宋体" w:cs="宋体"/>
          <w:kern w:val="0"/>
          <w:sz w:val="18"/>
          <w:szCs w:val="18"/>
          <w:lang w:eastAsia="zh-CN"/>
        </w:rPr>
      </w:pPr>
    </w:p>
    <w:p w14:paraId="34C6675E">
      <w:pPr>
        <w:pStyle w:val="6"/>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5ADA5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2D31AE3A">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【湘·至尊】</w:t>
            </w:r>
          </w:p>
        </w:tc>
      </w:tr>
      <w:tr w14:paraId="1BFA95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B0EED9A">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长沙/韶山/天门山-玻璃栈道/张家界/袁家界/金鞭溪/黄龙洞/芙蓉镇/凤凰古城6日游</w:t>
            </w:r>
          </w:p>
        </w:tc>
      </w:tr>
      <w:tr w14:paraId="458244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3EBA486">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3360"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09E12D7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一价全含、七无产品，独家定制设计:</w:t>
            </w:r>
          </w:p>
          <w:p w14:paraId="4D4A894E">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无自费、无苗寨、无超市、无景交、无翡翠，无男女比例、无年龄限制</w:t>
            </w:r>
          </w:p>
          <w:p w14:paraId="727C570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364D6EE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5CB27798">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69CE41E">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3A35C5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087BCE5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021AC08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E46C0A" w:themeColor="accent6" w:themeShade="BF"/>
                <w:szCs w:val="21"/>
                <w:lang w:eastAsia="zh-CN"/>
              </w:rPr>
              <w:t>全程</w:t>
            </w:r>
            <w:r>
              <w:rPr>
                <w:rFonts w:hint="eastAsia" w:ascii="微软雅黑" w:hAnsi="微软雅黑" w:eastAsia="微软雅黑" w:cs="微软雅黑"/>
                <w:b/>
                <w:bCs/>
                <w:color w:val="E46C0A" w:themeColor="accent6" w:themeShade="BF"/>
                <w:szCs w:val="21"/>
                <w:lang w:val="en-US" w:eastAsia="zh-CN"/>
              </w:rPr>
              <w:t>4晚</w:t>
            </w:r>
            <w:r>
              <w:rPr>
                <w:rFonts w:hint="eastAsia" w:ascii="微软雅黑" w:hAnsi="微软雅黑" w:eastAsia="微软雅黑" w:cs="微软雅黑"/>
                <w:b/>
                <w:bCs/>
                <w:color w:val="E46C0A" w:themeColor="accent6" w:themeShade="BF"/>
                <w:szCs w:val="21"/>
              </w:rPr>
              <w:t>入住网评</w:t>
            </w:r>
            <w:r>
              <w:rPr>
                <w:rFonts w:hint="eastAsia" w:ascii="微软雅黑" w:hAnsi="微软雅黑" w:eastAsia="微软雅黑" w:cs="微软雅黑"/>
                <w:b/>
                <w:bCs/>
                <w:color w:val="E46C0A" w:themeColor="accent6" w:themeShade="BF"/>
                <w:szCs w:val="21"/>
                <w:lang w:eastAsia="zh-CN"/>
              </w:rPr>
              <w:t>五钻</w:t>
            </w:r>
            <w:r>
              <w:rPr>
                <w:rFonts w:hint="eastAsia" w:ascii="微软雅黑" w:hAnsi="微软雅黑" w:eastAsia="微软雅黑" w:cs="微软雅黑"/>
                <w:b/>
                <w:bCs/>
                <w:color w:val="E46C0A" w:themeColor="accent6" w:themeShade="BF"/>
                <w:szCs w:val="21"/>
              </w:rPr>
              <w:t>钻酒店</w:t>
            </w:r>
            <w:r>
              <w:rPr>
                <w:rFonts w:hint="eastAsia" w:ascii="微软雅黑" w:hAnsi="微软雅黑" w:eastAsia="微软雅黑" w:cs="微软雅黑"/>
                <w:b/>
                <w:bCs/>
                <w:color w:val="E46C0A" w:themeColor="accent6" w:themeShade="BF"/>
                <w:szCs w:val="21"/>
                <w:lang w:val="en-US" w:eastAsia="zh-CN"/>
              </w:rPr>
              <w:t>+夜宿1晚芙蓉镇特色客栈或酒店</w:t>
            </w:r>
            <w:r>
              <w:rPr>
                <w:rFonts w:hint="eastAsia" w:ascii="微软雅黑" w:hAnsi="微软雅黑" w:eastAsia="微软雅黑" w:cs="微软雅黑"/>
                <w:b/>
                <w:bCs/>
                <w:color w:val="E46C0A" w:themeColor="accent6" w:themeShade="BF"/>
                <w:szCs w:val="21"/>
                <w:lang w:eastAsia="zh-CN"/>
              </w:rPr>
              <w:t>！</w:t>
            </w:r>
          </w:p>
          <w:p w14:paraId="543ECEDC">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2165444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4384"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43C4A2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10C1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D47CC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2E5A7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B263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732D0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D6C8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5A05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C04F6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3A920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4C6A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4AA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2950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F708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1E70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2789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673D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EF672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28D63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550DC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C2CB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CEB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黄龙洞</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千古情</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F745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D7B5D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C166E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B9B94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6F1E1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EDEBA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2B815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花开芙蓉</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DEFA5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463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BAF05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A887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p>
        </w:tc>
      </w:tr>
      <w:tr w14:paraId="7D6576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835F2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B423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土司府</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赴长沙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E09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E7211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3C80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4093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A9D8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DF40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98A0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87C76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11E8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1D1CE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C56C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770A2F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D9C8CF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FBC7C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B97A1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646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883D16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671D6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52F98C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99FBF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286D85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A89A3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B9C03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DB93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5B70642">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B9DBE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22FE9A">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eastAsia="zh-CN"/>
              </w:rPr>
              <w:t>早餐</w:t>
            </w:r>
            <w:r>
              <w:rPr>
                <w:rFonts w:hint="eastAsia" w:ascii="微软雅黑" w:hAnsi="微软雅黑" w:eastAsia="微软雅黑" w:cs="微软雅黑"/>
                <w:sz w:val="21"/>
                <w:szCs w:val="21"/>
              </w:rPr>
              <w:t>后车赴韶山，游</w:t>
            </w:r>
            <w:r>
              <w:rPr>
                <w:rFonts w:hint="eastAsia" w:ascii="微软雅黑" w:hAnsi="微软雅黑" w:eastAsia="微软雅黑" w:cs="微软雅黑"/>
                <w:b/>
                <w:bCs/>
                <w:color w:val="FF000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游览完之后我们一起享用主席宴（备注：韶山景区自2016年9月1日起实施交通换乘管理，换乘车20元/人费用已含），后乘车赴曾被新西兰作家路易艾黎称作中国最美丽的小城---</w:t>
            </w:r>
            <w:r>
              <w:rPr>
                <w:rFonts w:hint="eastAsia" w:ascii="微软雅黑" w:hAnsi="微软雅黑" w:eastAsia="微软雅黑" w:cs="微软雅黑"/>
                <w:b/>
                <w:color w:val="FF0000"/>
                <w:sz w:val="21"/>
                <w:szCs w:val="21"/>
              </w:rPr>
              <w:t>【凤凰古城】</w:t>
            </w:r>
            <w:r>
              <w:rPr>
                <w:rFonts w:hint="eastAsia" w:ascii="微软雅黑" w:hAnsi="微软雅黑" w:eastAsia="微软雅黑" w:cs="微软雅黑"/>
                <w:sz w:val="21"/>
                <w:szCs w:val="21"/>
              </w:rPr>
              <w:t>（备注：凤凰县城内自2021年1月1日起启动凤凰县城内接驳车运输有偿服务，接驳车28元/人费用已含），途经三湘四水，鱼米之乡，身临“湖广熟、天下足”的佳境。晚上夜游凤凰古城，欣赏沱江两岸醉人夜色——带您穿越千年凤凰的必游景点！【七重灯光秀】--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如遇堵车、沱江水位过高或过低，大风暴雨等恶劣天气及特殊原因会停演不能正常观看，赠送项目不看不退，也不做等价交换请谅解）。</w:t>
            </w:r>
          </w:p>
          <w:p w14:paraId="43670C1A">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110E53D4">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r>
              <w:rPr>
                <w:rFonts w:hint="eastAsia" w:ascii="微软雅黑" w:hAnsi="微软雅黑" w:eastAsia="微软雅黑" w:cs="微软雅黑"/>
                <w:color w:val="953735" w:themeColor="accent2" w:themeShade="BF"/>
                <w:spacing w:val="10"/>
                <w:kern w:val="15"/>
                <w:sz w:val="21"/>
                <w:szCs w:val="21"/>
              </w:rPr>
              <w:t>1.散拼团有一定的特殊性，由于客人来的交通不一样，如遇航班、火车晚点，短时间的等待属于正常情况，由于客人原因造成未能赶到正常发班时间的，产生额外费用，客人自行承担。</w:t>
            </w:r>
          </w:p>
          <w:p w14:paraId="2CE8C83F">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bookmarkStart w:id="0" w:name="OLE_LINK12"/>
            <w:bookmarkStart w:id="1" w:name="OLE_LINK11"/>
            <w:r>
              <w:rPr>
                <w:rFonts w:hint="eastAsia" w:ascii="微软雅黑" w:hAnsi="微软雅黑" w:eastAsia="微软雅黑" w:cs="微软雅黑"/>
                <w:color w:val="953735" w:themeColor="accent2" w:themeShade="BF"/>
                <w:spacing w:val="10"/>
                <w:kern w:val="15"/>
                <w:sz w:val="21"/>
                <w:szCs w:val="21"/>
              </w:rPr>
              <w:t>2.</w:t>
            </w:r>
            <w:r>
              <w:rPr>
                <w:rFonts w:hint="eastAsia" w:ascii="微软雅黑" w:hAnsi="微软雅黑" w:eastAsia="微软雅黑" w:cs="微软雅黑"/>
                <w:color w:val="953735" w:themeColor="accent2" w:themeShade="BF"/>
                <w:kern w:val="15"/>
                <w:sz w:val="21"/>
                <w:szCs w:val="21"/>
              </w:rPr>
              <w:t xml:space="preserve"> </w:t>
            </w:r>
            <w:r>
              <w:rPr>
                <w:rFonts w:hint="eastAsia" w:ascii="微软雅黑" w:hAnsi="微软雅黑" w:eastAsia="微软雅黑" w:cs="微软雅黑"/>
                <w:color w:val="953735" w:themeColor="accent2" w:themeShade="BF"/>
                <w:spacing w:val="10"/>
                <w:kern w:val="15"/>
                <w:sz w:val="21"/>
                <w:szCs w:val="21"/>
              </w:rPr>
              <w:t>韶山红色宣讲员根据仪俗组织给毛泽东铜像献花篮活动，费用在20-30元之间，纯属个人信仰，客人完全自行做主，不接受此投诉！</w:t>
            </w:r>
          </w:p>
          <w:bookmarkEnd w:id="0"/>
          <w:bookmarkEnd w:id="1"/>
          <w:p w14:paraId="5CC8B20B">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kern w:val="15"/>
                <w:sz w:val="21"/>
                <w:szCs w:val="21"/>
              </w:rPr>
            </w:pPr>
            <w:r>
              <w:rPr>
                <w:rFonts w:hint="eastAsia" w:ascii="微软雅黑" w:hAnsi="微软雅黑" w:eastAsia="微软雅黑" w:cs="微软雅黑"/>
                <w:color w:val="953735" w:themeColor="accent2" w:themeShade="BF"/>
                <w:kern w:val="15"/>
                <w:sz w:val="21"/>
                <w:szCs w:val="21"/>
              </w:rPr>
              <w:t>3.《毛泽东同志故居》参观游客较多需提前预约，如未预约上及特殊原因不能观看请谅解。</w:t>
            </w:r>
          </w:p>
          <w:p w14:paraId="2F698425">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4.凤凰古城为敞开式民用商业区，购物环境旅行社无法把控，请各位贵宾们自行选择自己所感兴趣的东西，故本社不接受凤凰地区任何购物行为的投诉；</w:t>
            </w:r>
          </w:p>
          <w:p w14:paraId="1B45762E">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 xml:space="preserve">5.凤凰因交通管制，进出古城需换乘景区环保车，车辆只能在指定位置停车，需步行入住酒店； </w:t>
            </w:r>
          </w:p>
          <w:p w14:paraId="334272A8">
            <w:pPr>
              <w:pStyle w:val="20"/>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953735" w:themeColor="accent2" w:themeShade="BF"/>
                <w:sz w:val="21"/>
                <w:szCs w:val="21"/>
                <w:lang w:val="en-US" w:eastAsia="zh-CN"/>
              </w:rPr>
              <w:t>6.外出先咨询导游，牢记酒店名称地址，导游、紧急联系人电话号码，如有意外及时通知!</w:t>
            </w:r>
          </w:p>
        </w:tc>
      </w:tr>
      <w:tr w14:paraId="77BC3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CE97A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三天 凤凰古城→黄龙洞→千古情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A85DF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06E51C1">
            <w:pPr>
              <w:pStyle w:val="4"/>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早餐后前酒店早餐后游览曾被新西兰著名作家路易艾黎称赞为中国最美丽的小城--【</w:t>
            </w:r>
            <w:r>
              <w:rPr>
                <w:rFonts w:hint="eastAsia" w:ascii="微软雅黑" w:hAnsi="微软雅黑" w:eastAsia="微软雅黑" w:cs="微软雅黑"/>
                <w:b/>
                <w:bCs/>
                <w:color w:val="FF0000"/>
                <w:sz w:val="21"/>
                <w:szCs w:val="21"/>
                <w:lang w:eastAsia="zh-CN"/>
              </w:rPr>
              <w:t>凤凰古城AAAAA不含九景门票】</w:t>
            </w:r>
            <w:r>
              <w:rPr>
                <w:rFonts w:hint="eastAsia" w:ascii="微软雅黑" w:hAnsi="微软雅黑" w:eastAsia="微软雅黑" w:cs="微软雅黑"/>
                <w:color w:val="000000"/>
                <w:sz w:val="21"/>
                <w:szCs w:val="21"/>
                <w:lang w:eastAsia="zh-CN"/>
              </w:rPr>
              <w:t>早上5点—7点自行游览漫步沱江感受凤凰晨景，晚上看到凤凰的灯火辉煌，灯红酒绿，清晨静享这座小镇带来的心灵洗涤，感受雾漫沱江的美轮美奂</w:t>
            </w:r>
            <w:r>
              <w:rPr>
                <w:rFonts w:hint="eastAsia" w:ascii="微软雅黑" w:hAnsi="微软雅黑" w:eastAsia="微软雅黑" w:cs="微软雅黑"/>
                <w:color w:val="000000"/>
                <w:sz w:val="21"/>
                <w:szCs w:val="21"/>
                <w:lang w:eastAsia="zh-CN"/>
              </w:rPr>
              <w:br w:type="textWrapping"/>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szCs w:val="21"/>
                <w:lang w:eastAsia="zh-CN"/>
              </w:rPr>
              <w:t>后</w:t>
            </w:r>
            <w:r>
              <w:rPr>
                <w:rFonts w:hint="eastAsia" w:ascii="微软雅黑" w:hAnsi="微软雅黑" w:eastAsia="微软雅黑" w:cs="微软雅黑"/>
                <w:szCs w:val="21"/>
              </w:rPr>
              <w:t>赠送游览享有“世界溶洞全能冠军”之称的国家AAAAA</w:t>
            </w:r>
            <w:r>
              <w:rPr>
                <w:rFonts w:hint="eastAsia" w:ascii="微软雅黑" w:hAnsi="微软雅黑" w:eastAsia="微软雅黑" w:cs="微软雅黑"/>
                <w:b/>
                <w:color w:val="FF0000"/>
                <w:szCs w:val="21"/>
              </w:rPr>
              <w:t>【黄龙洞】</w:t>
            </w:r>
            <w:r>
              <w:rPr>
                <w:rFonts w:hint="eastAsia" w:ascii="微软雅黑" w:hAnsi="微软雅黑" w:eastAsia="微软雅黑" w:cs="微软雅黑"/>
                <w:szCs w:val="21"/>
              </w:rPr>
              <w:t>（门票已含，不去不退）：洞中灯火阑珊、石笋林立，犹如一株株古木错节盘根、洞中有洞、洞中有河、无奇不有，真乃名副其实的“地下魔宫”，洞中还有投保一亿元的石笋定海神针、响水河、龙王聚会厅、天仙水、天柱街等著名景点。</w:t>
            </w:r>
          </w:p>
          <w:p w14:paraId="2CA93822">
            <w:pPr>
              <w:pStyle w:val="4"/>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ascii="微软雅黑" w:hAnsi="微软雅黑" w:eastAsia="微软雅黑" w:cs="微软雅黑"/>
                <w:szCs w:val="21"/>
              </w:rPr>
            </w:pPr>
            <w:r>
              <w:rPr>
                <w:rFonts w:hint="eastAsia" w:ascii="微软雅黑" w:hAnsi="微软雅黑" w:eastAsia="微软雅黑" w:cs="微软雅黑"/>
                <w:szCs w:val="21"/>
                <w:lang w:bidi="ar"/>
              </w:rPr>
              <w:t>晚上赠送观看</w:t>
            </w:r>
            <w:r>
              <w:rPr>
                <w:rFonts w:hint="eastAsia" w:ascii="微软雅黑" w:hAnsi="微软雅黑" w:eastAsia="微软雅黑" w:cs="微软雅黑"/>
                <w:b/>
                <w:bCs/>
                <w:color w:val="FF0000"/>
                <w:kern w:val="0"/>
                <w:szCs w:val="21"/>
              </w:rPr>
              <w:t>【千古情晚会】</w:t>
            </w:r>
            <w:r>
              <w:rPr>
                <w:rFonts w:hint="eastAsia" w:ascii="微软雅黑" w:hAnsi="微软雅黑" w:eastAsia="微软雅黑" w:cs="微软雅黑"/>
                <w:szCs w:val="21"/>
                <w:lang w:bidi="ar"/>
              </w:rPr>
              <w:t>让您身临其境般欣赏原生态民俗风情节目，感受湘西传承千年的绚丽文化！</w:t>
            </w:r>
          </w:p>
          <w:p w14:paraId="356DA8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D8759D4">
            <w:pPr>
              <w:pStyle w:val="4"/>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pPr>
            <w:r>
              <w:rPr>
                <w:rFonts w:hint="eastAsia" w:ascii="微软雅黑" w:hAnsi="微软雅黑" w:eastAsia="微软雅黑" w:cs="微软雅黑"/>
                <w:color w:val="953735" w:themeColor="accent2" w:themeShade="BF"/>
                <w:szCs w:val="21"/>
                <w:lang w:val="en-US" w:eastAsia="zh-CN"/>
              </w:rPr>
              <w:t>2.</w:t>
            </w:r>
            <w:r>
              <w:rPr>
                <w:rFonts w:hint="eastAsia" w:ascii="微软雅黑" w:hAnsi="微软雅黑" w:eastAsia="微软雅黑" w:cs="微软雅黑"/>
                <w:color w:val="953735" w:themeColor="accent2" w:themeShade="BF"/>
                <w:szCs w:val="21"/>
              </w:rPr>
              <w:t>凤凰/芙蓉镇为敞开式民用商业区，银饰、牛角梳、蜡染、当地小吃等特色商品导游义务介绍，旅游者购物行为为自主选择，旅行社不接受凤凰/芙蓉镇区域旅游者购物方面的投诉。</w:t>
            </w:r>
          </w:p>
          <w:p w14:paraId="7B3550AE">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firstLine="0" w:firstLineChars="0"/>
              <w:jc w:val="both"/>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lang w:val="en-US" w:eastAsia="zh-CN"/>
              </w:rPr>
              <w:t>3</w:t>
            </w:r>
            <w:r>
              <w:rPr>
                <w:rFonts w:hint="eastAsia" w:ascii="微软雅黑" w:hAnsi="微软雅黑" w:eastAsia="微软雅黑" w:cs="微软雅黑"/>
                <w:color w:val="953735" w:themeColor="accent2" w:themeShade="BF"/>
                <w:szCs w:val="21"/>
              </w:rPr>
              <w:t>.晚会随机安排，不指定，不看不退费也不等同交通；</w:t>
            </w:r>
          </w:p>
          <w:p w14:paraId="0FA2EF84">
            <w:pPr>
              <w:pStyle w:val="4"/>
              <w:rPr>
                <w:rFonts w:hint="default"/>
                <w:lang w:val="en-US" w:eastAsia="zh-CN"/>
              </w:rPr>
            </w:pPr>
          </w:p>
        </w:tc>
      </w:tr>
      <w:tr w14:paraId="79AC3E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40699AE">
            <w:pPr>
              <w:numPr>
                <w:ilvl w:val="0"/>
                <w:numId w:val="0"/>
              </w:numPr>
              <w:ind w:left="8404" w:leftChars="0" w:hanging="8404" w:hangingChars="300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第四天张家界国家森林公园→袁家界→天子山→金鞭溪→芙蓉镇→花开芙蓉            </w:t>
            </w:r>
          </w:p>
          <w:p w14:paraId="71947584">
            <w:pPr>
              <w:numPr>
                <w:ilvl w:val="0"/>
                <w:numId w:val="0"/>
              </w:numPr>
              <w:ind w:left="7184" w:leftChars="3421" w:firstLine="720" w:firstLineChars="30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芙蓉镇</w:t>
            </w:r>
          </w:p>
        </w:tc>
      </w:tr>
      <w:tr w14:paraId="61B170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3E64FE">
            <w:pPr>
              <w:pStyle w:val="4"/>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早餐后乘车赴中国第一个国家森林公园---</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sz w:val="21"/>
                <w:szCs w:val="21"/>
              </w:rPr>
              <w:t>后乘车游览</w:t>
            </w:r>
            <w:r>
              <w:rPr>
                <w:rFonts w:hint="eastAsia" w:ascii="微软雅黑" w:hAnsi="微软雅黑" w:eastAsia="微软雅黑" w:cs="微软雅黑"/>
                <w:b/>
                <w:bCs/>
                <w:color w:val="FF0000"/>
                <w:sz w:val="21"/>
                <w:szCs w:val="21"/>
              </w:rPr>
              <w:t>【天子山景区】</w:t>
            </w:r>
            <w:r>
              <w:rPr>
                <w:rFonts w:hint="eastAsia" w:ascii="微软雅黑" w:hAnsi="微软雅黑" w:eastAsia="微软雅黑" w:cs="微软雅黑"/>
                <w:sz w:val="21"/>
                <w:szCs w:val="21"/>
              </w:rPr>
              <w:t>，天子山景区是放大的盆景、缩小的仙境就是指天子山；天子山享有“世界峰林之王”、“谁人识得天子面，归来不看天下山”、“不游天子山，枉到武陵源” “凭栏览尽天上景”等美誉，有【贺龙公园】，【天子阁】，【西林石海】等等，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sz w:val="21"/>
                <w:szCs w:val="21"/>
                <w:lang w:val="zh-CN"/>
              </w:rPr>
              <w:t>【金鞭溪】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r>
              <w:rPr>
                <w:rFonts w:hint="eastAsia" w:ascii="微软雅黑" w:hAnsi="微软雅黑" w:eastAsia="微软雅黑" w:cs="微软雅黑"/>
                <w:sz w:val="21"/>
                <w:szCs w:val="21"/>
              </w:rPr>
              <w:t>后BUS前往游览网红景点：悬挂在瀑布上的古镇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在80年代因拍摄《芙蓉镇》而一举闻名。它是一座具有两千年历史的古镇，原为西汉酉阳县所治，因得酉水舟楫之便，自古为永顺通商口岸，素有“楚蜀通津”之称，古镇石板街，贞节牌坊、王村瀑布，品尝刘晓庆米豆腐。享有湘西“四大名镇”、“小凤凰”之美誉。在码头乘摆渡船进入（赠送酉水画廊船票及电瓶车/如特殊不可抗拒原因则改为车进车出）. 芙蓉镇是融自然景色与古朴的民族风情为一体的旅游胜地，可尽情寻幽访古，期间赠送大型实景民族风俗演绎</w:t>
            </w:r>
            <w:r>
              <w:rPr>
                <w:rFonts w:hint="eastAsia" w:ascii="微软雅黑" w:hAnsi="微软雅黑" w:eastAsia="微软雅黑" w:cs="微软雅黑"/>
                <w:b/>
                <w:color w:val="FF0000"/>
                <w:sz w:val="21"/>
                <w:szCs w:val="21"/>
              </w:rPr>
              <w:t>【花开芙蓉一毕兹卡的狂欢】</w:t>
            </w:r>
            <w:r>
              <w:rPr>
                <w:rFonts w:hint="eastAsia" w:ascii="微软雅黑" w:hAnsi="微软雅黑" w:eastAsia="微软雅黑" w:cs="微软雅黑"/>
                <w:sz w:val="21"/>
                <w:szCs w:val="21"/>
              </w:rPr>
              <w:t>( 因景区赠送晚会，如遇堵车、下雨或官方停演及特殊原因不能正常观看无退费请谅解)。表演是沉浸式的，室外与室内相呼应。你可见证千年前土王与楚王立柱为盟的场景，也可欣赏到 “梯玛神歌”、“土家铜铃舞” “土家恋歌”、“哭嫁歌”等等。</w:t>
            </w:r>
          </w:p>
          <w:p w14:paraId="0939DDC8">
            <w:pPr>
              <w:pStyle w:val="4"/>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3A180FCE">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1.为避免严重排队我们选择错峰上下山，百龙电梯往返或者杨家界索道往返或环保车上电梯下、根据实际情况安排，费用已含。</w:t>
            </w:r>
          </w:p>
          <w:p w14:paraId="6E1B48D8">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2.当天中餐不含，建议客人自备干粮.零食。景区山上仅一家餐厅，且餐食很是一般。景区中有麦当劳，小吃。</w:t>
            </w:r>
          </w:p>
          <w:p w14:paraId="1C8DE14F">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3.旅游旺季，景区预约量不足时，旅行社有权根据实际情况调整景点的先后顺序。</w:t>
            </w:r>
          </w:p>
          <w:p w14:paraId="25EECCEA">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武陵源核心景区旅游注意事项：</w:t>
            </w:r>
          </w:p>
          <w:p w14:paraId="47825A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4</w:t>
            </w:r>
            <w:r>
              <w:rPr>
                <w:rFonts w:hint="eastAsia" w:ascii="微软雅黑" w:hAnsi="微软雅黑" w:eastAsia="微软雅黑" w:cs="微软雅黑"/>
                <w:color w:val="953735" w:themeColor="accent2" w:themeShade="BF"/>
                <w:sz w:val="21"/>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4889FA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5</w:t>
            </w:r>
            <w:r>
              <w:rPr>
                <w:rFonts w:hint="eastAsia" w:ascii="微软雅黑" w:hAnsi="微软雅黑" w:eastAsia="微软雅黑" w:cs="微软雅黑"/>
                <w:color w:val="953735" w:themeColor="accent2" w:themeShade="BF"/>
                <w:sz w:val="21"/>
                <w:szCs w:val="21"/>
              </w:rPr>
              <w:t>穿着类---张家界以山为主，为方便在山区游览，请穿平跟鞋，建议不穿裙子，自带雨具、太阳帽、胶卷等物品。</w:t>
            </w:r>
          </w:p>
          <w:p w14:paraId="3B67C69A">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6</w:t>
            </w:r>
            <w:r>
              <w:rPr>
                <w:rFonts w:hint="eastAsia" w:ascii="微软雅黑" w:hAnsi="微软雅黑" w:eastAsia="微软雅黑" w:cs="微软雅黑"/>
                <w:color w:val="953735" w:themeColor="accent2" w:themeShade="BF"/>
                <w:sz w:val="21"/>
                <w:szCs w:val="21"/>
              </w:rPr>
              <w:t>安全类----景区内群猴众多，请不要近距离接近猴群，更不要去触摸山上的野生动物，以免发生伤害事件。早晚温差很大，请根据当天的天气预报随身携带厚衣服，以便随时添加。在景区内请不要随意攀爬。</w:t>
            </w:r>
          </w:p>
          <w:p w14:paraId="3192A372">
            <w:pPr>
              <w:pStyle w:val="4"/>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7</w:t>
            </w:r>
            <w:r>
              <w:rPr>
                <w:rFonts w:hint="eastAsia" w:ascii="微软雅黑" w:hAnsi="微软雅黑" w:eastAsia="微软雅黑" w:cs="微软雅黑"/>
                <w:color w:val="953735" w:themeColor="accent2" w:themeShade="BF"/>
                <w:sz w:val="21"/>
                <w:szCs w:val="21"/>
              </w:rPr>
              <w:t>《花开芙蓉》表演时间为景区自定，如遇天气或景区原因等其他因素未开演，不去不退，具体以景区实际通知为准！</w:t>
            </w:r>
          </w:p>
          <w:p w14:paraId="276DF487">
            <w:pPr>
              <w:pStyle w:val="20"/>
              <w:keepNext w:val="0"/>
              <w:keepLines w:val="0"/>
              <w:pageBreakBefore w:val="0"/>
              <w:widowControl w:val="0"/>
              <w:kinsoku/>
              <w:wordWrap/>
              <w:overflowPunct/>
              <w:topLinePunct w:val="0"/>
              <w:autoSpaceDE/>
              <w:autoSpaceDN/>
              <w:bidi w:val="0"/>
              <w:adjustRightInd/>
              <w:snapToGrid/>
              <w:spacing w:line="360" w:lineRule="exact"/>
              <w:ind w:right="102" w:firstLine="0"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953735" w:themeColor="accent2" w:themeShade="BF"/>
                <w:sz w:val="21"/>
                <w:szCs w:val="21"/>
                <w:lang w:val="en-US" w:eastAsia="zh-CN"/>
              </w:rPr>
              <w:t>8</w:t>
            </w:r>
            <w:r>
              <w:rPr>
                <w:rFonts w:hint="eastAsia" w:ascii="微软雅黑" w:hAnsi="微软雅黑" w:eastAsia="微软雅黑" w:cs="微软雅黑"/>
                <w:color w:val="953735" w:themeColor="accent2" w:themeShade="BF"/>
                <w:sz w:val="21"/>
                <w:szCs w:val="21"/>
              </w:rPr>
              <w:t>.芙蓉镇属于湘西偏远小镇，旅游开发较晚，旅游住宿酒店条件有限，不能和大城市条件做比较，敬请谅解！</w:t>
            </w:r>
          </w:p>
        </w:tc>
      </w:tr>
      <w:tr w14:paraId="4E07B3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1298BF8">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玻璃栈道</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B147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2AF95E2">
            <w:pPr>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ascii="微软雅黑" w:hAnsi="微软雅黑" w:eastAsia="微软雅黑" w:cs="微软雅黑"/>
                <w:szCs w:val="21"/>
              </w:rPr>
            </w:pPr>
            <w:r>
              <w:rPr>
                <w:rFonts w:hint="eastAsia" w:ascii="微软雅黑" w:hAnsi="微软雅黑" w:eastAsia="微软雅黑" w:cs="微软雅黑"/>
                <w:szCs w:val="21"/>
              </w:rPr>
              <w:t>早餐后乘车前往湘西土家文化发源地</w:t>
            </w:r>
            <w:r>
              <w:rPr>
                <w:rFonts w:hint="eastAsia" w:ascii="微软雅黑" w:hAnsi="微软雅黑" w:eastAsia="微软雅黑" w:cs="微软雅黑"/>
                <w:b/>
                <w:bCs/>
                <w:color w:val="FF0000"/>
                <w:szCs w:val="21"/>
              </w:rPr>
              <w:t>【土司</w:t>
            </w:r>
            <w:r>
              <w:rPr>
                <w:rFonts w:hint="eastAsia" w:ascii="微软雅黑" w:hAnsi="微软雅黑" w:eastAsia="微软雅黑" w:cs="微软雅黑"/>
                <w:b/>
                <w:bCs/>
                <w:color w:val="FF0000"/>
                <w:szCs w:val="21"/>
                <w:lang w:eastAsia="zh-CN"/>
              </w:rPr>
              <w:t>府</w:t>
            </w:r>
            <w:r>
              <w:rPr>
                <w:rFonts w:hint="eastAsia" w:ascii="微软雅黑" w:hAnsi="微软雅黑" w:eastAsia="微软雅黑" w:cs="微软雅黑"/>
                <w:b/>
                <w:bCs/>
                <w:color w:val="FF0000"/>
                <w:szCs w:val="21"/>
              </w:rPr>
              <w:t>】或【土司</w:t>
            </w:r>
            <w:r>
              <w:rPr>
                <w:rFonts w:hint="eastAsia" w:ascii="微软雅黑" w:hAnsi="微软雅黑" w:eastAsia="微软雅黑" w:cs="微软雅黑"/>
                <w:b/>
                <w:bCs/>
                <w:color w:val="FF0000"/>
                <w:szCs w:val="21"/>
                <w:lang w:eastAsia="zh-CN"/>
              </w:rPr>
              <w:t>城</w:t>
            </w:r>
            <w:r>
              <w:rPr>
                <w:rFonts w:hint="eastAsia" w:ascii="微软雅黑" w:hAnsi="微软雅黑" w:eastAsia="微软雅黑" w:cs="微软雅黑"/>
                <w:b/>
                <w:bCs/>
                <w:color w:val="FF0000"/>
                <w:szCs w:val="21"/>
              </w:rPr>
              <w:t>】</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63320DB0">
            <w:pPr>
              <w:pStyle w:val="4"/>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09EC5B4">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default"/>
                <w:lang w:val="en-US" w:eastAsia="zh-CN"/>
              </w:rPr>
            </w:pPr>
            <w:r>
              <w:rPr>
                <w:rFonts w:hint="eastAsia" w:ascii="微软雅黑" w:hAnsi="微软雅黑" w:eastAsia="微软雅黑" w:cs="微软雅黑"/>
                <w:color w:val="953735" w:themeColor="accent2" w:themeShade="BF"/>
                <w:szCs w:val="21"/>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tc>
      </w:tr>
      <w:tr w14:paraId="1835DF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B753657">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60548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E08DAE">
            <w:pPr>
              <w:spacing w:line="360" w:lineRule="exact"/>
              <w:ind w:firstLine="420" w:firstLineChars="200"/>
              <w:rPr>
                <w:rFonts w:hint="eastAsia" w:ascii="微软雅黑" w:hAnsi="微软雅黑" w:eastAsia="微软雅黑" w:cs="微软雅黑"/>
                <w:lang w:eastAsia="zh-CN"/>
              </w:rPr>
            </w:pPr>
            <w:bookmarkStart w:id="2" w:name="OLE_LINK1"/>
            <w:bookmarkStart w:id="3" w:name="OLE_LINK2"/>
            <w:r>
              <w:rPr>
                <w:rFonts w:hint="eastAsia" w:ascii="微软雅黑" w:hAnsi="微软雅黑" w:eastAsia="微软雅黑" w:cs="微软雅黑"/>
                <w:kern w:val="2"/>
                <w:sz w:val="21"/>
                <w:szCs w:val="21"/>
                <w:highlight w:val="none"/>
                <w:lang w:val="en-US" w:eastAsia="zh-CN" w:bidi="ar-SA"/>
              </w:rPr>
              <w:t>早餐</w:t>
            </w:r>
            <w:bookmarkEnd w:id="2"/>
            <w:bookmarkEnd w:id="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6BD605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819C1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DCC40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A3778F7">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59617D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906AA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328F11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r>
              <w:rPr>
                <w:rFonts w:hint="eastAsia" w:ascii="微软雅黑" w:hAnsi="微软雅黑" w:eastAsia="微软雅黑" w:cs="微软雅黑"/>
                <w:color w:val="953735" w:themeColor="accent2" w:themeShade="BF"/>
                <w:szCs w:val="21"/>
              </w:rPr>
              <w:t>晚会随机安排，不指定，不看不退费也不等同交通；</w:t>
            </w:r>
          </w:p>
          <w:p w14:paraId="5F2D228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b/>
                <w:bCs/>
                <w:color w:val="E46C0A" w:themeColor="accent6" w:themeShade="BF"/>
                <w:szCs w:val="21"/>
                <w:lang w:eastAsia="zh-CN"/>
              </w:rPr>
              <w:t>全程</w:t>
            </w:r>
            <w:r>
              <w:rPr>
                <w:rFonts w:hint="eastAsia" w:ascii="微软雅黑" w:hAnsi="微软雅黑" w:eastAsia="微软雅黑" w:cs="微软雅黑"/>
                <w:b/>
                <w:bCs/>
                <w:color w:val="E46C0A" w:themeColor="accent6" w:themeShade="BF"/>
                <w:szCs w:val="21"/>
                <w:lang w:val="en-US" w:eastAsia="zh-CN"/>
              </w:rPr>
              <w:t>4</w:t>
            </w:r>
            <w:bookmarkStart w:id="4" w:name="_GoBack"/>
            <w:bookmarkEnd w:id="4"/>
            <w:r>
              <w:rPr>
                <w:rFonts w:hint="eastAsia" w:ascii="微软雅黑" w:hAnsi="微软雅黑" w:eastAsia="微软雅黑" w:cs="微软雅黑"/>
                <w:b/>
                <w:bCs/>
                <w:color w:val="E46C0A" w:themeColor="accent6" w:themeShade="BF"/>
                <w:szCs w:val="21"/>
                <w:lang w:val="en-US" w:eastAsia="zh-CN"/>
              </w:rPr>
              <w:t>晚</w:t>
            </w:r>
            <w:r>
              <w:rPr>
                <w:rFonts w:hint="eastAsia" w:ascii="微软雅黑" w:hAnsi="微软雅黑" w:eastAsia="微软雅黑" w:cs="微软雅黑"/>
                <w:b/>
                <w:bCs/>
                <w:color w:val="E46C0A" w:themeColor="accent6" w:themeShade="BF"/>
                <w:szCs w:val="21"/>
              </w:rPr>
              <w:t>晚入住网评</w:t>
            </w:r>
            <w:r>
              <w:rPr>
                <w:rFonts w:hint="eastAsia" w:ascii="微软雅黑" w:hAnsi="微软雅黑" w:eastAsia="微软雅黑" w:cs="微软雅黑"/>
                <w:b/>
                <w:bCs/>
                <w:color w:val="E46C0A" w:themeColor="accent6" w:themeShade="BF"/>
                <w:szCs w:val="21"/>
                <w:lang w:eastAsia="zh-CN"/>
              </w:rPr>
              <w:t>五钻</w:t>
            </w:r>
            <w:r>
              <w:rPr>
                <w:rFonts w:hint="eastAsia" w:ascii="微软雅黑" w:hAnsi="微软雅黑" w:eastAsia="微软雅黑" w:cs="微软雅黑"/>
                <w:b/>
                <w:bCs/>
                <w:color w:val="E46C0A" w:themeColor="accent6" w:themeShade="BF"/>
                <w:szCs w:val="21"/>
              </w:rPr>
              <w:t>酒店</w:t>
            </w:r>
            <w:r>
              <w:rPr>
                <w:rFonts w:hint="eastAsia" w:ascii="微软雅黑" w:hAnsi="微软雅黑" w:eastAsia="微软雅黑" w:cs="微软雅黑"/>
                <w:b/>
                <w:bCs/>
                <w:color w:val="E46C0A" w:themeColor="accent6" w:themeShade="BF"/>
                <w:szCs w:val="21"/>
                <w:lang w:val="en-US" w:eastAsia="zh-CN"/>
              </w:rPr>
              <w:t>+夜宿1晚芙蓉镇特色客栈或酒店</w:t>
            </w:r>
            <w:r>
              <w:rPr>
                <w:rFonts w:hint="eastAsia" w:ascii="微软雅黑" w:hAnsi="微软雅黑" w:eastAsia="微软雅黑" w:cs="微软雅黑"/>
                <w:b/>
                <w:bCs/>
                <w:color w:val="E46C0A" w:themeColor="accent6" w:themeShade="BF"/>
                <w:szCs w:val="21"/>
                <w:lang w:eastAsia="zh-CN"/>
              </w:rPr>
              <w:t>！</w:t>
            </w:r>
            <w:r>
              <w:rPr>
                <w:rFonts w:hint="eastAsia" w:ascii="微软雅黑" w:hAnsi="微软雅黑" w:eastAsia="微软雅黑" w:cs="微软雅黑"/>
                <w:szCs w:val="21"/>
              </w:rPr>
              <w:t>（不含单房差）</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2"/>
                <w:lang w:val="en-US" w:eastAsia="zh-CN" w:bidi="zh-CN"/>
              </w:rPr>
              <w:t xml:space="preserve">酒店无正规三人间，不占床不退费 </w:t>
            </w:r>
          </w:p>
          <w:p w14:paraId="63D6312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餐标40/人，安排九菜一汤，十人一桌。正餐不用不退费亦不作等价交换！酒店房费包含早餐，儿童不占床不含早；</w:t>
            </w:r>
          </w:p>
          <w:p w14:paraId="0164DD2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（部分景区套车）15人以下安排18座普通车。</w:t>
            </w:r>
          </w:p>
          <w:p w14:paraId="48E0D062">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6BC517FA">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606C11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0540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19C2FFE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17A53F2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7E433D6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DADC7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027749D">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1ACC79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2F9C5B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7DE9CA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F9DB5A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72DF69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9FF972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4C44BDC7">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长沙：华晨豪生（主楼）/隆华/雅士亚豪生/万家丽/雅士亚华美达/三景韦尔斯利等同级  </w:t>
            </w:r>
          </w:p>
          <w:p w14:paraId="6D4CA1B1">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凤凰：凯盛国际酒店/揽月酒店/山水莲心/浩枫温德姆酒店/蔚景温德姆/凤凰城精品等同级</w:t>
            </w:r>
          </w:p>
          <w:p w14:paraId="74B5FC4B">
            <w:pPr>
              <w:keepNext w:val="0"/>
              <w:keepLines w:val="0"/>
              <w:pageBreakBefore w:val="0"/>
              <w:kinsoku/>
              <w:overflowPunct/>
              <w:topLinePunct w:val="0"/>
              <w:autoSpaceDN/>
              <w:bidi w:val="0"/>
              <w:adjustRightInd/>
              <w:spacing w:line="440" w:lineRule="exac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张家界：碧桂园凤凰楼/阳光酒店/蓝湾博格/禾田居/丽笙度假酒店/福朋喜来登/华天酒店等同级</w:t>
            </w:r>
          </w:p>
          <w:p w14:paraId="4DA476F3">
            <w:pPr>
              <w:pStyle w:val="4"/>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芙蓉镇：花筑锦程之恋</w:t>
            </w:r>
            <w:r>
              <w:rPr>
                <w:rFonts w:hint="eastAsia" w:ascii="微软雅黑" w:hAnsi="微软雅黑" w:eastAsia="微软雅黑" w:cs="微软雅黑"/>
                <w:lang w:val="en-US" w:eastAsia="zh-CN"/>
              </w:rPr>
              <w:t>/</w:t>
            </w:r>
            <w:r>
              <w:rPr>
                <w:rFonts w:hint="eastAsia" w:ascii="微软雅黑" w:hAnsi="微软雅黑" w:eastAsia="微软雅黑" w:cs="微软雅黑"/>
              </w:rPr>
              <w:t>阿呆美宿等或同级酒店；</w:t>
            </w:r>
          </w:p>
          <w:p w14:paraId="32EAAF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53735" w:themeColor="accent2" w:themeShade="BF"/>
              </w:rPr>
              <w:t>指定酒店如遇特殊情况如：政府重大活动，大型会议或满房等，我社有权另行安排同级别酒店入住。</w:t>
            </w:r>
          </w:p>
        </w:tc>
      </w:tr>
      <w:tr w14:paraId="7E49CD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2849C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950B909">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42422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9E87913">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FA444C0">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974D7A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3E22C5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CE7C97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E616568">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55986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EF0553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87B6BC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11E47C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2707C01">
      <w:pPr>
        <w:pStyle w:val="6"/>
        <w:rPr>
          <w:rFonts w:hint="eastAsia"/>
          <w:lang w:eastAsia="zh-CN"/>
        </w:rPr>
      </w:pPr>
    </w:p>
    <w:p w14:paraId="35509677">
      <w:pPr>
        <w:pStyle w:val="6"/>
        <w:rPr>
          <w:rFonts w:hint="eastAsia"/>
          <w:lang w:eastAsia="zh-CN"/>
        </w:rPr>
      </w:pPr>
    </w:p>
    <w:p w14:paraId="445E5B35">
      <w:pPr>
        <w:pStyle w:val="6"/>
        <w:rPr>
          <w:rFonts w:hint="eastAsia"/>
          <w:lang w:eastAsia="zh-CN"/>
        </w:rPr>
      </w:pPr>
    </w:p>
    <w:p w14:paraId="0F531FFE">
      <w:pPr>
        <w:pStyle w:val="6"/>
        <w:rPr>
          <w:rFonts w:hint="eastAsia"/>
          <w:lang w:eastAsia="zh-CN"/>
        </w:rPr>
      </w:pPr>
    </w:p>
    <w:p w14:paraId="43E6909F">
      <w:pPr>
        <w:pStyle w:val="6"/>
        <w:rPr>
          <w:rFonts w:hint="eastAsia"/>
          <w:lang w:eastAsia="zh-CN"/>
        </w:rPr>
      </w:pPr>
    </w:p>
    <w:p w14:paraId="37F9C735">
      <w:pPr>
        <w:pStyle w:val="6"/>
        <w:rPr>
          <w:rFonts w:hint="eastAsia"/>
          <w:lang w:eastAsia="zh-CN"/>
        </w:rPr>
      </w:pPr>
    </w:p>
    <w:p w14:paraId="35DF06EA">
      <w:pPr>
        <w:pStyle w:val="6"/>
        <w:rPr>
          <w:rFonts w:hint="eastAsia"/>
          <w:lang w:eastAsia="zh-CN"/>
        </w:rPr>
      </w:pPr>
    </w:p>
    <w:p w14:paraId="0ED17F1D">
      <w:pPr>
        <w:pStyle w:val="6"/>
        <w:rPr>
          <w:rFonts w:hint="eastAsia"/>
          <w:lang w:eastAsia="zh-CN"/>
        </w:rPr>
      </w:pPr>
    </w:p>
    <w:p w14:paraId="571F4CB8">
      <w:pPr>
        <w:pStyle w:val="6"/>
        <w:rPr>
          <w:rFonts w:hint="eastAsia"/>
          <w:lang w:eastAsia="zh-CN"/>
        </w:rPr>
      </w:pPr>
    </w:p>
    <w:p w14:paraId="79DD1EF7">
      <w:pPr>
        <w:pStyle w:val="6"/>
        <w:rPr>
          <w:rFonts w:hint="eastAsia"/>
          <w:lang w:eastAsia="zh-CN"/>
        </w:rPr>
      </w:pPr>
    </w:p>
    <w:p w14:paraId="30D287BD">
      <w:pPr>
        <w:pStyle w:val="6"/>
        <w:rPr>
          <w:rFonts w:hint="eastAsia"/>
          <w:lang w:eastAsia="zh-CN"/>
        </w:rPr>
      </w:pPr>
    </w:p>
    <w:p w14:paraId="1985FE5A">
      <w:pPr>
        <w:pStyle w:val="6"/>
        <w:rPr>
          <w:rFonts w:hint="eastAsia"/>
          <w:lang w:eastAsia="zh-CN"/>
        </w:rPr>
      </w:pPr>
    </w:p>
    <w:p w14:paraId="235ABB6F">
      <w:pPr>
        <w:pStyle w:val="6"/>
        <w:rPr>
          <w:rFonts w:hint="eastAsia"/>
          <w:lang w:eastAsia="zh-CN"/>
        </w:rPr>
      </w:pPr>
    </w:p>
    <w:p w14:paraId="01E10ED5">
      <w:pPr>
        <w:pStyle w:val="6"/>
        <w:rPr>
          <w:rFonts w:hint="eastAsia"/>
          <w:lang w:eastAsia="zh-CN"/>
        </w:rPr>
      </w:pPr>
    </w:p>
    <w:p w14:paraId="0361DC94">
      <w:pPr>
        <w:pStyle w:val="6"/>
        <w:rPr>
          <w:rFonts w:hint="eastAsia"/>
          <w:lang w:eastAsia="zh-CN"/>
        </w:rPr>
      </w:pPr>
    </w:p>
    <w:p w14:paraId="28F739D8">
      <w:pPr>
        <w:pStyle w:val="6"/>
        <w:rPr>
          <w:rFonts w:hint="eastAsia"/>
          <w:lang w:eastAsia="zh-CN"/>
        </w:rPr>
      </w:pPr>
    </w:p>
    <w:p w14:paraId="1F557E5A">
      <w:pPr>
        <w:pStyle w:val="6"/>
        <w:rPr>
          <w:rFonts w:hint="eastAsia"/>
          <w:lang w:eastAsia="zh-CN"/>
        </w:rPr>
      </w:pPr>
    </w:p>
    <w:p w14:paraId="38D39D18">
      <w:pPr>
        <w:pStyle w:val="6"/>
        <w:rPr>
          <w:rFonts w:hint="eastAsia"/>
          <w:lang w:eastAsia="zh-CN"/>
        </w:rPr>
      </w:pPr>
    </w:p>
    <w:p w14:paraId="2E56843A">
      <w:pPr>
        <w:pStyle w:val="6"/>
        <w:rPr>
          <w:rFonts w:hint="eastAsia"/>
          <w:lang w:eastAsia="zh-CN"/>
        </w:rPr>
      </w:pPr>
    </w:p>
    <w:p w14:paraId="1C1C3F7E">
      <w:pPr>
        <w:pStyle w:val="6"/>
        <w:rPr>
          <w:rFonts w:hint="eastAsia"/>
          <w:lang w:eastAsia="zh-CN"/>
        </w:rPr>
      </w:pPr>
    </w:p>
    <w:p w14:paraId="00B787AC">
      <w:pPr>
        <w:pStyle w:val="6"/>
        <w:rPr>
          <w:rFonts w:hint="eastAsia"/>
          <w:lang w:eastAsia="zh-CN"/>
        </w:rPr>
      </w:pPr>
    </w:p>
    <w:p w14:paraId="255E2B83">
      <w:pPr>
        <w:pStyle w:val="6"/>
        <w:rPr>
          <w:rFonts w:hint="eastAsia"/>
          <w:lang w:eastAsia="zh-CN"/>
        </w:rPr>
      </w:pPr>
    </w:p>
    <w:p w14:paraId="5EEF47B3">
      <w:pPr>
        <w:pStyle w:val="6"/>
        <w:rPr>
          <w:rFonts w:hint="eastAsia"/>
          <w:lang w:eastAsia="zh-CN"/>
        </w:rPr>
      </w:pPr>
    </w:p>
    <w:p w14:paraId="187A90C7">
      <w:pPr>
        <w:pStyle w:val="6"/>
        <w:rPr>
          <w:rFonts w:hint="eastAsia"/>
          <w:lang w:eastAsia="zh-CN"/>
        </w:rPr>
      </w:pPr>
    </w:p>
    <w:p w14:paraId="3059FA82">
      <w:pPr>
        <w:pStyle w:val="6"/>
        <w:rPr>
          <w:rFonts w:hint="eastAsia"/>
          <w:lang w:eastAsia="zh-CN"/>
        </w:rPr>
      </w:pPr>
    </w:p>
    <w:p w14:paraId="4271DC68">
      <w:pPr>
        <w:pStyle w:val="6"/>
        <w:rPr>
          <w:rFonts w:hint="eastAsia"/>
          <w:lang w:eastAsia="zh-CN"/>
        </w:rPr>
      </w:pPr>
    </w:p>
    <w:p w14:paraId="5E91E03A">
      <w:pPr>
        <w:pStyle w:val="6"/>
        <w:rPr>
          <w:rFonts w:hint="eastAsia"/>
          <w:lang w:eastAsia="zh-CN"/>
        </w:rPr>
      </w:pPr>
    </w:p>
    <w:p w14:paraId="3EE6C564">
      <w:pPr>
        <w:pStyle w:val="6"/>
        <w:rPr>
          <w:rFonts w:hint="eastAsia"/>
          <w:lang w:eastAsia="zh-CN"/>
        </w:rPr>
      </w:pPr>
    </w:p>
    <w:p w14:paraId="598E2876">
      <w:pPr>
        <w:pStyle w:val="6"/>
        <w:rPr>
          <w:rFonts w:hint="eastAsia"/>
          <w:lang w:eastAsia="zh-CN"/>
        </w:rPr>
      </w:pPr>
    </w:p>
    <w:p w14:paraId="35981DE1">
      <w:pPr>
        <w:pStyle w:val="6"/>
        <w:rPr>
          <w:rFonts w:hint="eastAsia"/>
          <w:lang w:eastAsia="zh-CN"/>
        </w:rPr>
      </w:pPr>
    </w:p>
    <w:p w14:paraId="26C02777">
      <w:pPr>
        <w:pStyle w:val="6"/>
        <w:rPr>
          <w:rFonts w:hint="eastAsia"/>
          <w:lang w:eastAsia="zh-CN"/>
        </w:rPr>
      </w:pPr>
    </w:p>
    <w:p w14:paraId="6A8635B5">
      <w:pPr>
        <w:pStyle w:val="6"/>
        <w:rPr>
          <w:rFonts w:hint="eastAsia"/>
          <w:lang w:eastAsia="zh-CN"/>
        </w:rPr>
      </w:pPr>
    </w:p>
    <w:p w14:paraId="3110C2D6">
      <w:pPr>
        <w:pStyle w:val="6"/>
        <w:rPr>
          <w:rFonts w:hint="eastAsia"/>
          <w:lang w:eastAsia="zh-CN"/>
        </w:rPr>
      </w:pPr>
    </w:p>
    <w:p w14:paraId="19D4A2CB">
      <w:pPr>
        <w:pStyle w:val="6"/>
        <w:rPr>
          <w:rFonts w:hint="eastAsia"/>
          <w:lang w:eastAsia="zh-CN"/>
        </w:rPr>
      </w:pPr>
    </w:p>
    <w:p w14:paraId="7872FE19">
      <w:pPr>
        <w:pStyle w:val="6"/>
        <w:rPr>
          <w:rFonts w:hint="eastAsia"/>
          <w:lang w:eastAsia="zh-CN"/>
        </w:rPr>
      </w:pPr>
    </w:p>
    <w:p w14:paraId="5079A632">
      <w:pPr>
        <w:pStyle w:val="6"/>
        <w:rPr>
          <w:rFonts w:hint="eastAsia"/>
          <w:lang w:eastAsia="zh-CN"/>
        </w:rPr>
      </w:pPr>
    </w:p>
    <w:p w14:paraId="106A593A">
      <w:pPr>
        <w:pStyle w:val="6"/>
        <w:rPr>
          <w:rFonts w:hint="eastAsia"/>
          <w:lang w:eastAsia="zh-CN"/>
        </w:rPr>
      </w:pPr>
    </w:p>
    <w:p w14:paraId="1C326474">
      <w:pPr>
        <w:pStyle w:val="6"/>
        <w:rPr>
          <w:rFonts w:hint="eastAsia"/>
          <w:lang w:eastAsia="zh-CN"/>
        </w:rPr>
      </w:pPr>
    </w:p>
    <w:p w14:paraId="45BA5048">
      <w:pPr>
        <w:pStyle w:val="6"/>
        <w:rPr>
          <w:rFonts w:hint="eastAsia"/>
          <w:lang w:eastAsia="zh-CN"/>
        </w:rPr>
      </w:pPr>
    </w:p>
    <w:p w14:paraId="4FD006BB">
      <w:pPr>
        <w:pStyle w:val="6"/>
        <w:rPr>
          <w:rFonts w:hint="eastAsia"/>
          <w:lang w:eastAsia="zh-CN"/>
        </w:rPr>
      </w:pPr>
    </w:p>
    <w:p w14:paraId="0DDDE795">
      <w:pPr>
        <w:pStyle w:val="6"/>
        <w:rPr>
          <w:rFonts w:hint="eastAsia"/>
          <w:lang w:eastAsia="zh-CN"/>
        </w:rPr>
      </w:pPr>
    </w:p>
    <w:p w14:paraId="6DFC1C4F">
      <w:pPr>
        <w:pStyle w:val="6"/>
        <w:rPr>
          <w:rFonts w:hint="eastAsia"/>
          <w:lang w:eastAsia="zh-CN"/>
        </w:rPr>
      </w:pPr>
    </w:p>
    <w:p w14:paraId="0D29B933">
      <w:pPr>
        <w:pStyle w:val="6"/>
        <w:rPr>
          <w:rFonts w:hint="eastAsia"/>
          <w:lang w:eastAsia="zh-CN"/>
        </w:rPr>
      </w:pPr>
    </w:p>
    <w:p w14:paraId="480D7F3A">
      <w:pPr>
        <w:pStyle w:val="6"/>
        <w:rPr>
          <w:rFonts w:hint="eastAsia"/>
          <w:lang w:eastAsia="zh-CN"/>
        </w:rPr>
      </w:pPr>
    </w:p>
    <w:p w14:paraId="45616059">
      <w:pPr>
        <w:pStyle w:val="6"/>
        <w:rPr>
          <w:rFonts w:hint="eastAsia"/>
          <w:lang w:eastAsia="zh-CN"/>
        </w:rPr>
      </w:pPr>
    </w:p>
    <w:p w14:paraId="61F44A0A">
      <w:pPr>
        <w:pStyle w:val="6"/>
        <w:rPr>
          <w:rFonts w:hint="eastAsia"/>
          <w:lang w:eastAsia="zh-CN"/>
        </w:rPr>
      </w:pPr>
    </w:p>
    <w:p w14:paraId="20EF76EF">
      <w:pPr>
        <w:pStyle w:val="6"/>
        <w:rPr>
          <w:rFonts w:hint="eastAsia"/>
          <w:lang w:eastAsia="zh-CN"/>
        </w:rPr>
      </w:pPr>
    </w:p>
    <w:p w14:paraId="24DB3442">
      <w:pPr>
        <w:pStyle w:val="6"/>
        <w:rPr>
          <w:rFonts w:hint="eastAsia"/>
          <w:lang w:eastAsia="zh-CN"/>
        </w:rPr>
      </w:pPr>
    </w:p>
    <w:p w14:paraId="21A02A80">
      <w:pPr>
        <w:pStyle w:val="6"/>
        <w:rPr>
          <w:rFonts w:hint="eastAsia"/>
          <w:lang w:eastAsia="zh-CN"/>
        </w:rPr>
      </w:pPr>
    </w:p>
    <w:p w14:paraId="07F391E3">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Narkisim">
    <w:panose1 w:val="020E0502050101010101"/>
    <w:charset w:val="00"/>
    <w:family w:val="auto"/>
    <w:pitch w:val="default"/>
    <w:sig w:usb0="00000801" w:usb1="00000000" w:usb2="00000000" w:usb3="00000000" w:csb0="00000020" w:csb1="002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1265DB"/>
    <w:rsid w:val="05077321"/>
    <w:rsid w:val="05203A73"/>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01371"/>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9E0FFB"/>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B44564"/>
    <w:rsid w:val="23D5466C"/>
    <w:rsid w:val="23E40D09"/>
    <w:rsid w:val="241403FB"/>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6212CC"/>
    <w:rsid w:val="37FA789F"/>
    <w:rsid w:val="37FF748C"/>
    <w:rsid w:val="381F242D"/>
    <w:rsid w:val="3901371D"/>
    <w:rsid w:val="39B44CE2"/>
    <w:rsid w:val="39D30EB6"/>
    <w:rsid w:val="39DA4059"/>
    <w:rsid w:val="39ED3ED1"/>
    <w:rsid w:val="3A297CD2"/>
    <w:rsid w:val="3A382F0D"/>
    <w:rsid w:val="3A9665B5"/>
    <w:rsid w:val="3AB309C7"/>
    <w:rsid w:val="3B4B164C"/>
    <w:rsid w:val="3BCF46CA"/>
    <w:rsid w:val="3C0C0AA1"/>
    <w:rsid w:val="3C164A8D"/>
    <w:rsid w:val="3C4D011D"/>
    <w:rsid w:val="3C5710E9"/>
    <w:rsid w:val="3C6B346C"/>
    <w:rsid w:val="3C962F5C"/>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2634DD"/>
    <w:rsid w:val="41524DB6"/>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6ED18ED"/>
    <w:rsid w:val="475E6466"/>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98725E"/>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6D71DD"/>
    <w:rsid w:val="56891D8F"/>
    <w:rsid w:val="56C02F6A"/>
    <w:rsid w:val="56C105BC"/>
    <w:rsid w:val="56EA6CD1"/>
    <w:rsid w:val="56F42EB1"/>
    <w:rsid w:val="56F74F33"/>
    <w:rsid w:val="570D43E2"/>
    <w:rsid w:val="57326E58"/>
    <w:rsid w:val="57C31B98"/>
    <w:rsid w:val="580C3794"/>
    <w:rsid w:val="581546AF"/>
    <w:rsid w:val="58744AC1"/>
    <w:rsid w:val="587C07F1"/>
    <w:rsid w:val="58B61A9D"/>
    <w:rsid w:val="58C33C5A"/>
    <w:rsid w:val="58CC3EAD"/>
    <w:rsid w:val="58F12E9E"/>
    <w:rsid w:val="59AC2042"/>
    <w:rsid w:val="59DF74B6"/>
    <w:rsid w:val="5A3A273A"/>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B22857"/>
    <w:rsid w:val="60C73DE5"/>
    <w:rsid w:val="60EA73D6"/>
    <w:rsid w:val="610572F8"/>
    <w:rsid w:val="6133198D"/>
    <w:rsid w:val="617E0AF8"/>
    <w:rsid w:val="619304B3"/>
    <w:rsid w:val="61B57C03"/>
    <w:rsid w:val="6285197B"/>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141780"/>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313ED9"/>
    <w:rsid w:val="6FCC47C8"/>
    <w:rsid w:val="6FFB0243"/>
    <w:rsid w:val="70F322CE"/>
    <w:rsid w:val="70F84783"/>
    <w:rsid w:val="717B2FE3"/>
    <w:rsid w:val="71C13552"/>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22F52"/>
    <w:rsid w:val="74EE6EA4"/>
    <w:rsid w:val="751D4327"/>
    <w:rsid w:val="75242E64"/>
    <w:rsid w:val="753627B5"/>
    <w:rsid w:val="753D37FC"/>
    <w:rsid w:val="7595754C"/>
    <w:rsid w:val="7610256F"/>
    <w:rsid w:val="761C3AC7"/>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7"/>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6346</Words>
  <Characters>6463</Characters>
  <Lines>41</Lines>
  <Paragraphs>11</Paragraphs>
  <TotalTime>0</TotalTime>
  <ScaleCrop>false</ScaleCrop>
  <LinksUpToDate>false</LinksUpToDate>
  <CharactersWithSpaces>6690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2026-04-08T03:30:09Z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5DF0838CEBC847D8BA35A5B9C2B750B5_13</vt:lpwstr>
  </property>
  <property fmtid="{D5CDD505-2E9C-101B-9397-08002B2CF9AE}" pid="5" name="KSOTemplateDocerSaveRecord">
    <vt:lpwstr>eyJoZGlkIjoiODk1MzQxZjRiYmE1M2VkZTBiMTFmNTU0NzAyNTY1MDQiLCJ1c2VySWQiOiIyODEyNzY2NDcifQ==</vt:lpwstr>
  </property>
</Properties>
</file>